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06" w:rsidRDefault="00B809F9" w:rsidP="003D4279">
      <w:pPr>
        <w:ind w:left="-142"/>
        <w:rPr>
          <w:rFonts w:ascii="Calibri" w:hAnsi="Calibri" w:cs="Calibri"/>
          <w:b/>
          <w:color w:val="5F497A" w:themeColor="accent4" w:themeShade="BF"/>
          <w:sz w:val="32"/>
          <w:szCs w:val="32"/>
          <w:lang w:eastAsia="en-GB"/>
        </w:rPr>
      </w:pPr>
      <w:r w:rsidRPr="0008581A">
        <w:rPr>
          <w:rFonts w:ascii="Calibri" w:hAnsi="Calibri" w:cs="Calibri"/>
          <w:b/>
          <w:color w:val="5F497A" w:themeColor="accent4" w:themeShade="BF"/>
          <w:sz w:val="32"/>
          <w:szCs w:val="32"/>
          <w:lang w:eastAsia="en-GB"/>
        </w:rPr>
        <w:t>Lancashire County Council</w:t>
      </w:r>
      <w:r>
        <w:rPr>
          <w:rFonts w:ascii="Calibri" w:hAnsi="Calibri" w:cs="Calibri"/>
          <w:b/>
          <w:color w:val="5F497A" w:themeColor="accent4" w:themeShade="BF"/>
          <w:sz w:val="32"/>
          <w:szCs w:val="32"/>
          <w:lang w:eastAsia="en-GB"/>
        </w:rPr>
        <w:t xml:space="preserve"> and Lancashire County Pension Fund</w:t>
      </w:r>
      <w:r w:rsidRPr="0008581A">
        <w:rPr>
          <w:rFonts w:ascii="Calibri" w:hAnsi="Calibri" w:cs="Calibri"/>
          <w:b/>
          <w:color w:val="5F497A" w:themeColor="accent4" w:themeShade="BF"/>
          <w:sz w:val="32"/>
          <w:szCs w:val="32"/>
          <w:lang w:eastAsia="en-GB"/>
        </w:rPr>
        <w:t xml:space="preserve"> - Questions to Management</w:t>
      </w:r>
      <w:r>
        <w:rPr>
          <w:rFonts w:ascii="Calibri" w:hAnsi="Calibri" w:cs="Calibri"/>
          <w:b/>
          <w:color w:val="5F497A" w:themeColor="accent4" w:themeShade="BF"/>
          <w:sz w:val="32"/>
          <w:szCs w:val="32"/>
          <w:lang w:eastAsia="en-GB"/>
        </w:rPr>
        <w:t xml:space="preserve"> 2019/20</w:t>
      </w:r>
    </w:p>
    <w:p w:rsidR="003D4279" w:rsidRPr="00C436A9" w:rsidRDefault="008C4481" w:rsidP="003D4279">
      <w:pPr>
        <w:pStyle w:val="BodyText"/>
        <w:rPr>
          <w:rFonts w:ascii="Calibri" w:hAnsi="Calibri"/>
          <w:b/>
          <w:sz w:val="24"/>
          <w:szCs w:val="24"/>
        </w:rPr>
      </w:pPr>
    </w:p>
    <w:tbl>
      <w:tblPr>
        <w:tblStyle w:val="TableGrid"/>
        <w:tblW w:w="5205" w:type="pct"/>
        <w:tblInd w:w="-289" w:type="dxa"/>
        <w:tblLook w:val="04A0" w:firstRow="1" w:lastRow="0" w:firstColumn="1" w:lastColumn="0" w:noHBand="0" w:noVBand="1"/>
      </w:tblPr>
      <w:tblGrid>
        <w:gridCol w:w="3403"/>
        <w:gridCol w:w="6308"/>
        <w:gridCol w:w="6308"/>
      </w:tblGrid>
      <w:tr w:rsidR="00E85B06" w:rsidTr="003C457D">
        <w:trPr>
          <w:tblHeader/>
        </w:trPr>
        <w:tc>
          <w:tcPr>
            <w:tcW w:w="1062" w:type="pct"/>
            <w:shd w:val="clear" w:color="auto" w:fill="D9D9D9" w:themeFill="background1" w:themeFillShade="D9"/>
          </w:tcPr>
          <w:p w:rsidR="00031D11" w:rsidRPr="00585400" w:rsidRDefault="00B809F9" w:rsidP="0008581A">
            <w:pPr>
              <w:spacing w:after="0"/>
              <w:jc w:val="center"/>
              <w:rPr>
                <w:rFonts w:ascii="Arial" w:hAnsi="Arial" w:cs="Arial"/>
                <w:b/>
                <w:szCs w:val="22"/>
              </w:rPr>
            </w:pPr>
            <w:r w:rsidRPr="00585400">
              <w:rPr>
                <w:rFonts w:ascii="Arial" w:hAnsi="Arial" w:cs="Arial"/>
                <w:b/>
                <w:szCs w:val="22"/>
              </w:rPr>
              <w:t>Auditor question</w:t>
            </w:r>
          </w:p>
          <w:p w:rsidR="00031D11" w:rsidRPr="00585400" w:rsidRDefault="008C4481" w:rsidP="0008581A">
            <w:pPr>
              <w:spacing w:after="0"/>
              <w:jc w:val="center"/>
              <w:rPr>
                <w:rFonts w:ascii="Arial" w:hAnsi="Arial" w:cs="Arial"/>
                <w:b/>
                <w:szCs w:val="22"/>
              </w:rPr>
            </w:pPr>
          </w:p>
        </w:tc>
        <w:tc>
          <w:tcPr>
            <w:tcW w:w="1969" w:type="pct"/>
            <w:shd w:val="clear" w:color="auto" w:fill="D9D9D9" w:themeFill="background1" w:themeFillShade="D9"/>
          </w:tcPr>
          <w:p w:rsidR="00031D11" w:rsidRPr="00585400" w:rsidRDefault="00B809F9" w:rsidP="00031D11">
            <w:pPr>
              <w:spacing w:after="0"/>
              <w:rPr>
                <w:rFonts w:ascii="Arial" w:hAnsi="Arial" w:cs="Arial"/>
                <w:b/>
                <w:szCs w:val="22"/>
              </w:rPr>
            </w:pPr>
            <w:r w:rsidRPr="00585400">
              <w:rPr>
                <w:rFonts w:ascii="Arial" w:hAnsi="Arial" w:cs="Arial"/>
                <w:b/>
                <w:szCs w:val="22"/>
              </w:rPr>
              <w:t>Response for Lancashire County Council</w:t>
            </w:r>
          </w:p>
        </w:tc>
        <w:tc>
          <w:tcPr>
            <w:tcW w:w="1969" w:type="pct"/>
            <w:shd w:val="clear" w:color="auto" w:fill="D9D9D9" w:themeFill="background1" w:themeFillShade="D9"/>
          </w:tcPr>
          <w:p w:rsidR="00031D11" w:rsidRPr="00585400" w:rsidRDefault="00B809F9" w:rsidP="00031D11">
            <w:pPr>
              <w:spacing w:after="0"/>
              <w:rPr>
                <w:rFonts w:ascii="Arial" w:hAnsi="Arial" w:cs="Arial"/>
                <w:b/>
                <w:szCs w:val="22"/>
              </w:rPr>
            </w:pPr>
            <w:r w:rsidRPr="00585400">
              <w:rPr>
                <w:rFonts w:ascii="Arial" w:hAnsi="Arial" w:cs="Arial"/>
                <w:b/>
                <w:szCs w:val="22"/>
              </w:rPr>
              <w:t>Response for Lancashire County Pension Fund</w:t>
            </w:r>
          </w:p>
        </w:tc>
      </w:tr>
      <w:tr w:rsidR="00E85B06" w:rsidTr="003C457D">
        <w:trPr>
          <w:trHeight w:val="900"/>
        </w:trPr>
        <w:tc>
          <w:tcPr>
            <w:tcW w:w="1062" w:type="pct"/>
          </w:tcPr>
          <w:p w:rsidR="00C0560B" w:rsidRPr="00585400" w:rsidRDefault="00B809F9" w:rsidP="00C0560B">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What do you regard as the key events or issues that will have a significant impact on the financial statements for 2019/20?</w:t>
            </w:r>
          </w:p>
          <w:p w:rsidR="00C0560B" w:rsidRPr="00585400" w:rsidRDefault="008C4481" w:rsidP="00C0560B">
            <w:pPr>
              <w:autoSpaceDE w:val="0"/>
              <w:autoSpaceDN w:val="0"/>
              <w:adjustRightInd w:val="0"/>
              <w:spacing w:after="0"/>
              <w:rPr>
                <w:rFonts w:ascii="Arial" w:eastAsia="Times New Roman" w:hAnsi="Arial" w:cs="Arial"/>
                <w:color w:val="000000"/>
                <w:szCs w:val="22"/>
                <w:lang w:eastAsia="en-GB"/>
              </w:rPr>
            </w:pPr>
          </w:p>
          <w:p w:rsidR="00C0560B" w:rsidRPr="00585400" w:rsidRDefault="008C4481" w:rsidP="00C0560B">
            <w:pPr>
              <w:autoSpaceDE w:val="0"/>
              <w:autoSpaceDN w:val="0"/>
              <w:adjustRightInd w:val="0"/>
              <w:spacing w:after="0"/>
              <w:rPr>
                <w:rFonts w:ascii="Arial" w:eastAsia="Times New Roman" w:hAnsi="Arial" w:cs="Arial"/>
                <w:color w:val="000000"/>
                <w:szCs w:val="22"/>
                <w:lang w:eastAsia="en-GB"/>
              </w:rPr>
            </w:pPr>
          </w:p>
        </w:tc>
        <w:tc>
          <w:tcPr>
            <w:tcW w:w="1969" w:type="pct"/>
          </w:tcPr>
          <w:p w:rsidR="00C0560B" w:rsidRPr="000E7D54" w:rsidRDefault="00B809F9" w:rsidP="00C0560B">
            <w:pPr>
              <w:spacing w:after="0"/>
              <w:rPr>
                <w:rFonts w:ascii="Arial" w:hAnsi="Arial" w:cs="Arial"/>
                <w:color w:val="000000"/>
                <w:szCs w:val="22"/>
                <w:lang w:eastAsia="en-GB"/>
              </w:rPr>
            </w:pPr>
            <w:r w:rsidRPr="000E7D54">
              <w:rPr>
                <w:rFonts w:ascii="Arial" w:hAnsi="Arial" w:cs="Arial"/>
                <w:color w:val="000000"/>
                <w:szCs w:val="22"/>
                <w:lang w:eastAsia="en-GB"/>
              </w:rPr>
              <w:t>There are no specific events that have had a significant impact on the financial statements for 2019/20.</w:t>
            </w:r>
          </w:p>
          <w:p w:rsidR="00C0560B" w:rsidRPr="0010496A" w:rsidRDefault="008C4481" w:rsidP="00C0560B">
            <w:pPr>
              <w:spacing w:after="0"/>
              <w:rPr>
                <w:rFonts w:ascii="Arial" w:hAnsi="Arial" w:cs="Arial"/>
                <w:color w:val="000000"/>
                <w:szCs w:val="22"/>
                <w:highlight w:val="yellow"/>
                <w:lang w:eastAsia="en-GB"/>
              </w:rPr>
            </w:pPr>
          </w:p>
        </w:tc>
        <w:tc>
          <w:tcPr>
            <w:tcW w:w="1969" w:type="pct"/>
          </w:tcPr>
          <w:p w:rsidR="00C0560B" w:rsidRDefault="00B809F9" w:rsidP="00C0560B">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Continued pooling of investments and the reporting of post-pooling management expenses.</w:t>
            </w:r>
          </w:p>
          <w:p w:rsidR="00811603" w:rsidRDefault="008C4481" w:rsidP="00C0560B">
            <w:pPr>
              <w:spacing w:after="0"/>
              <w:rPr>
                <w:rFonts w:ascii="Arial" w:eastAsia="Times New Roman" w:hAnsi="Arial" w:cs="Arial"/>
                <w:color w:val="000000"/>
                <w:szCs w:val="22"/>
                <w:lang w:eastAsia="en-GB"/>
              </w:rPr>
            </w:pPr>
          </w:p>
          <w:p w:rsidR="00811603" w:rsidRPr="001F4FA7" w:rsidRDefault="00B809F9" w:rsidP="00811603">
            <w:pPr>
              <w:spacing w:after="0"/>
              <w:rPr>
                <w:rFonts w:ascii="Arial" w:hAnsi="Arial" w:cs="Arial"/>
                <w:color w:val="000000"/>
                <w:szCs w:val="22"/>
                <w:lang w:eastAsia="en-GB"/>
              </w:rPr>
            </w:pPr>
            <w:r>
              <w:rPr>
                <w:rFonts w:ascii="Arial" w:hAnsi="Arial" w:cs="Arial"/>
                <w:color w:val="000000"/>
                <w:szCs w:val="22"/>
                <w:lang w:eastAsia="en-GB"/>
              </w:rPr>
              <w:t>Reporting on the implications of the McCloud case on the IAS 19 liability. Until further information is known</w:t>
            </w:r>
            <w:r w:rsidR="00083D4D">
              <w:rPr>
                <w:rFonts w:ascii="Arial" w:hAnsi="Arial" w:cs="Arial"/>
                <w:color w:val="000000"/>
                <w:szCs w:val="22"/>
                <w:lang w:eastAsia="en-GB"/>
              </w:rPr>
              <w:t>,</w:t>
            </w:r>
            <w:r>
              <w:rPr>
                <w:rFonts w:ascii="Arial" w:hAnsi="Arial" w:cs="Arial"/>
                <w:color w:val="000000"/>
                <w:szCs w:val="22"/>
                <w:lang w:eastAsia="en-GB"/>
              </w:rPr>
              <w:t xml:space="preserve"> the intention is to follow the </w:t>
            </w:r>
            <w:r w:rsidR="00083D4D">
              <w:rPr>
                <w:rFonts w:ascii="Arial" w:hAnsi="Arial" w:cs="Arial"/>
                <w:color w:val="000000"/>
                <w:szCs w:val="22"/>
                <w:lang w:eastAsia="en-GB"/>
              </w:rPr>
              <w:t>20</w:t>
            </w:r>
            <w:r>
              <w:rPr>
                <w:rFonts w:ascii="Arial" w:hAnsi="Arial" w:cs="Arial"/>
                <w:color w:val="000000"/>
                <w:szCs w:val="22"/>
                <w:lang w:eastAsia="en-GB"/>
              </w:rPr>
              <w:t xml:space="preserve">18/19 </w:t>
            </w:r>
            <w:r w:rsidR="00083D4D">
              <w:rPr>
                <w:rFonts w:ascii="Arial" w:hAnsi="Arial" w:cs="Arial"/>
                <w:color w:val="000000"/>
                <w:szCs w:val="22"/>
                <w:lang w:eastAsia="en-GB"/>
              </w:rPr>
              <w:t xml:space="preserve">accounting </w:t>
            </w:r>
            <w:r>
              <w:rPr>
                <w:rFonts w:ascii="Arial" w:hAnsi="Arial" w:cs="Arial"/>
                <w:color w:val="000000"/>
                <w:szCs w:val="22"/>
                <w:lang w:eastAsia="en-GB"/>
              </w:rPr>
              <w:t xml:space="preserve">treatment. </w:t>
            </w:r>
          </w:p>
          <w:p w:rsidR="00C0560B" w:rsidRPr="003D4279" w:rsidRDefault="008C4481" w:rsidP="00C0560B">
            <w:pPr>
              <w:spacing w:after="0"/>
              <w:rPr>
                <w:rFonts w:ascii="Arial" w:eastAsia="Times New Roman" w:hAnsi="Arial" w:cs="Arial"/>
                <w:color w:val="000000"/>
                <w:szCs w:val="22"/>
                <w:highlight w:val="magenta"/>
                <w:lang w:eastAsia="en-GB"/>
              </w:rPr>
            </w:pPr>
          </w:p>
          <w:p w:rsidR="00C0560B" w:rsidRPr="003D4279" w:rsidRDefault="00B809F9" w:rsidP="00C0560B">
            <w:pPr>
              <w:spacing w:after="0"/>
              <w:rPr>
                <w:rFonts w:ascii="Arial" w:eastAsia="Times New Roman" w:hAnsi="Arial" w:cs="Arial"/>
                <w:color w:val="000000"/>
                <w:szCs w:val="22"/>
                <w:highlight w:val="magenta"/>
                <w:lang w:eastAsia="en-GB"/>
              </w:rPr>
            </w:pPr>
            <w:r w:rsidRPr="001F4FA7">
              <w:rPr>
                <w:rFonts w:ascii="Arial" w:eastAsia="Times New Roman" w:hAnsi="Arial" w:cs="Arial"/>
                <w:color w:val="000000"/>
                <w:szCs w:val="22"/>
                <w:lang w:eastAsia="en-GB"/>
              </w:rPr>
              <w:t>The Fund will follow The Chartered Institute of Public Finance and Accountancy (CIPFA) guidance in preparing the annual report and accounts.</w:t>
            </w:r>
          </w:p>
        </w:tc>
      </w:tr>
      <w:tr w:rsidR="00E85B06" w:rsidTr="003C457D">
        <w:trPr>
          <w:trHeight w:val="600"/>
        </w:trPr>
        <w:tc>
          <w:tcPr>
            <w:tcW w:w="1062" w:type="pct"/>
          </w:tcPr>
          <w:p w:rsidR="00C0560B" w:rsidRPr="00585400" w:rsidRDefault="00B809F9" w:rsidP="00C0560B">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Have you considered the appropriateness of the accounting policies adopted by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ouncil? Have there been any events or transactions that may cause you to change or adopt new accounting policies?</w:t>
            </w:r>
          </w:p>
          <w:p w:rsidR="00C0560B" w:rsidRPr="00585400" w:rsidRDefault="008C4481" w:rsidP="00C0560B">
            <w:pPr>
              <w:autoSpaceDE w:val="0"/>
              <w:autoSpaceDN w:val="0"/>
              <w:adjustRightInd w:val="0"/>
              <w:spacing w:after="0"/>
              <w:rPr>
                <w:rFonts w:ascii="Arial" w:eastAsia="Times New Roman" w:hAnsi="Arial" w:cs="Arial"/>
                <w:color w:val="000000"/>
                <w:szCs w:val="22"/>
                <w:lang w:eastAsia="en-GB"/>
              </w:rPr>
            </w:pPr>
          </w:p>
        </w:tc>
        <w:tc>
          <w:tcPr>
            <w:tcW w:w="1969" w:type="pct"/>
          </w:tcPr>
          <w:p w:rsidR="00C0560B" w:rsidRPr="000E7D54" w:rsidRDefault="00B809F9" w:rsidP="00C0560B">
            <w:pPr>
              <w:spacing w:after="0"/>
              <w:rPr>
                <w:rFonts w:ascii="Arial" w:hAnsi="Arial" w:cs="Arial"/>
                <w:color w:val="000000"/>
                <w:szCs w:val="22"/>
                <w:lang w:eastAsia="en-GB"/>
              </w:rPr>
            </w:pPr>
            <w:r w:rsidRPr="000E7D54">
              <w:rPr>
                <w:rFonts w:ascii="Arial" w:hAnsi="Arial" w:cs="Arial"/>
                <w:color w:val="000000"/>
                <w:szCs w:val="22"/>
                <w:lang w:eastAsia="en-GB"/>
              </w:rPr>
              <w:t>The accounting policies have been reviewed, and the policies to be adopted for the 2019/20 accounts will be subject to approval by the Audit, Risk and Governance committee in January 2020.</w:t>
            </w:r>
          </w:p>
          <w:p w:rsidR="00C0560B" w:rsidRPr="000E7D54" w:rsidRDefault="008C4481" w:rsidP="00C0560B">
            <w:pPr>
              <w:spacing w:after="0"/>
              <w:rPr>
                <w:rFonts w:ascii="Arial" w:hAnsi="Arial" w:cs="Arial"/>
                <w:color w:val="000000"/>
                <w:szCs w:val="22"/>
                <w:lang w:eastAsia="en-GB"/>
              </w:rPr>
            </w:pPr>
          </w:p>
          <w:p w:rsidR="00C0560B" w:rsidRPr="0010496A" w:rsidRDefault="00B809F9" w:rsidP="00C0560B">
            <w:pPr>
              <w:spacing w:after="0"/>
              <w:rPr>
                <w:rFonts w:ascii="Arial" w:hAnsi="Arial" w:cs="Arial"/>
                <w:color w:val="000000"/>
                <w:szCs w:val="22"/>
                <w:lang w:eastAsia="en-GB"/>
              </w:rPr>
            </w:pPr>
            <w:r w:rsidRPr="000E7D54">
              <w:rPr>
                <w:rFonts w:ascii="Arial" w:hAnsi="Arial" w:cs="Arial"/>
                <w:color w:val="000000"/>
                <w:szCs w:val="22"/>
                <w:lang w:eastAsia="en-GB"/>
              </w:rPr>
              <w:t>There have been no events or transactions that have caused a change to the accounting policies since 2018/19.  However, the accounting policies have been streamlined in line with CIPFA guidance.</w:t>
            </w:r>
          </w:p>
          <w:p w:rsidR="00C0560B" w:rsidRPr="0010496A" w:rsidRDefault="008C4481" w:rsidP="00C0560B">
            <w:pPr>
              <w:spacing w:after="0"/>
              <w:rPr>
                <w:rFonts w:ascii="Arial" w:hAnsi="Arial" w:cs="Arial"/>
                <w:color w:val="000000"/>
                <w:szCs w:val="22"/>
                <w:highlight w:val="yellow"/>
                <w:lang w:eastAsia="en-GB"/>
              </w:rPr>
            </w:pPr>
          </w:p>
        </w:tc>
        <w:tc>
          <w:tcPr>
            <w:tcW w:w="1969" w:type="pct"/>
          </w:tcPr>
          <w:p w:rsidR="00C0560B" w:rsidRPr="001F4FA7" w:rsidRDefault="00B809F9" w:rsidP="00C0560B">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There have not been any events or transactions that will result in new or changed accounting policies.</w:t>
            </w:r>
          </w:p>
          <w:p w:rsidR="00C0560B" w:rsidRPr="001F4FA7" w:rsidRDefault="008C4481" w:rsidP="00C0560B">
            <w:pPr>
              <w:spacing w:after="0"/>
              <w:rPr>
                <w:rFonts w:ascii="Arial" w:eastAsia="Times New Roman" w:hAnsi="Arial" w:cs="Arial"/>
                <w:color w:val="000000"/>
                <w:szCs w:val="22"/>
                <w:lang w:eastAsia="en-GB"/>
              </w:rPr>
            </w:pPr>
          </w:p>
          <w:p w:rsidR="00C0560B" w:rsidRPr="003D4279" w:rsidRDefault="00B809F9" w:rsidP="00C0560B">
            <w:pPr>
              <w:spacing w:after="0"/>
              <w:rPr>
                <w:rFonts w:ascii="Arial" w:eastAsia="Times New Roman" w:hAnsi="Arial" w:cs="Arial"/>
                <w:color w:val="000000"/>
                <w:szCs w:val="22"/>
                <w:highlight w:val="magenta"/>
                <w:lang w:eastAsia="en-GB"/>
              </w:rPr>
            </w:pPr>
            <w:r w:rsidRPr="001F4FA7">
              <w:rPr>
                <w:rFonts w:ascii="Arial" w:eastAsia="Times New Roman" w:hAnsi="Arial" w:cs="Arial"/>
                <w:color w:val="000000"/>
                <w:szCs w:val="22"/>
                <w:lang w:eastAsia="en-GB"/>
              </w:rPr>
              <w:t>The Fund follows the CIPFA code of practice and guidance specific to the accounts of Local Government Pension Scheme (LGPS) Funds.</w:t>
            </w:r>
          </w:p>
        </w:tc>
      </w:tr>
      <w:tr w:rsidR="00E85B06" w:rsidTr="003C457D">
        <w:trPr>
          <w:trHeight w:val="600"/>
        </w:trPr>
        <w:tc>
          <w:tcPr>
            <w:tcW w:w="1062" w:type="pct"/>
          </w:tcPr>
          <w:p w:rsidR="00031D11" w:rsidRPr="00585400" w:rsidRDefault="00B809F9" w:rsidP="001753F9">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Are you aware of any changes to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ouncil</w:t>
            </w:r>
            <w:r>
              <w:rPr>
                <w:rFonts w:ascii="Arial" w:eastAsia="Times New Roman" w:hAnsi="Arial" w:cs="Arial"/>
                <w:color w:val="000000"/>
                <w:szCs w:val="22"/>
                <w:lang w:eastAsia="en-GB"/>
              </w:rPr>
              <w:t>'</w:t>
            </w:r>
            <w:r w:rsidRPr="00585400">
              <w:rPr>
                <w:rFonts w:ascii="Arial" w:eastAsia="Times New Roman" w:hAnsi="Arial" w:cs="Arial"/>
                <w:color w:val="000000"/>
                <w:szCs w:val="22"/>
                <w:lang w:eastAsia="en-GB"/>
              </w:rPr>
              <w:t xml:space="preserve">s regulatory environment that may have a significant impact on the </w:t>
            </w:r>
            <w:r>
              <w:rPr>
                <w:rFonts w:ascii="Arial" w:eastAsia="Times New Roman" w:hAnsi="Arial" w:cs="Arial"/>
                <w:color w:val="000000"/>
                <w:szCs w:val="22"/>
                <w:lang w:eastAsia="en-GB"/>
              </w:rPr>
              <w:t>a</w:t>
            </w:r>
            <w:r w:rsidRPr="00585400">
              <w:rPr>
                <w:rFonts w:ascii="Arial" w:eastAsia="Times New Roman" w:hAnsi="Arial" w:cs="Arial"/>
                <w:color w:val="000000"/>
                <w:szCs w:val="22"/>
                <w:lang w:eastAsia="en-GB"/>
              </w:rPr>
              <w:t>uthority's financial statements?</w:t>
            </w:r>
          </w:p>
          <w:p w:rsidR="00031D11" w:rsidRPr="00585400" w:rsidRDefault="008C4481" w:rsidP="001753F9">
            <w:pPr>
              <w:autoSpaceDE w:val="0"/>
              <w:autoSpaceDN w:val="0"/>
              <w:adjustRightInd w:val="0"/>
              <w:spacing w:after="0"/>
              <w:rPr>
                <w:rFonts w:ascii="Arial" w:eastAsia="Times New Roman" w:hAnsi="Arial" w:cs="Arial"/>
                <w:color w:val="000000"/>
                <w:szCs w:val="22"/>
                <w:lang w:eastAsia="en-GB"/>
              </w:rPr>
            </w:pPr>
          </w:p>
        </w:tc>
        <w:tc>
          <w:tcPr>
            <w:tcW w:w="1969" w:type="pct"/>
          </w:tcPr>
          <w:p w:rsidR="00031D11" w:rsidRPr="0010496A" w:rsidRDefault="00B809F9" w:rsidP="00031D11">
            <w:pPr>
              <w:spacing w:after="0"/>
              <w:rPr>
                <w:rFonts w:ascii="Arial" w:hAnsi="Arial" w:cs="Arial"/>
                <w:color w:val="000000"/>
                <w:szCs w:val="22"/>
                <w:highlight w:val="yellow"/>
                <w:lang w:eastAsia="en-GB"/>
              </w:rPr>
            </w:pPr>
            <w:r w:rsidRPr="000E7D54">
              <w:rPr>
                <w:rFonts w:ascii="Arial" w:hAnsi="Arial" w:cs="Arial"/>
                <w:color w:val="000000"/>
                <w:szCs w:val="22"/>
                <w:lang w:eastAsia="en-GB"/>
              </w:rPr>
              <w:t>No.</w:t>
            </w:r>
          </w:p>
        </w:tc>
        <w:tc>
          <w:tcPr>
            <w:tcW w:w="1969" w:type="pct"/>
          </w:tcPr>
          <w:p w:rsidR="00031D11" w:rsidRPr="003D4279" w:rsidRDefault="00B809F9" w:rsidP="00031D11">
            <w:pPr>
              <w:spacing w:after="0"/>
              <w:rPr>
                <w:rFonts w:ascii="Arial" w:eastAsia="Times New Roman" w:hAnsi="Arial" w:cs="Arial"/>
                <w:color w:val="000000"/>
                <w:szCs w:val="22"/>
                <w:highlight w:val="magenta"/>
                <w:lang w:eastAsia="en-GB"/>
              </w:rPr>
            </w:pPr>
            <w:r w:rsidRPr="004C64C7">
              <w:rPr>
                <w:rFonts w:ascii="Arial" w:eastAsia="Times New Roman" w:hAnsi="Arial" w:cs="Arial"/>
                <w:color w:val="000000"/>
                <w:szCs w:val="22"/>
                <w:lang w:eastAsia="en-GB"/>
              </w:rPr>
              <w:t>No.</w:t>
            </w:r>
          </w:p>
        </w:tc>
      </w:tr>
      <w:tr w:rsidR="00E85B06" w:rsidTr="003C457D">
        <w:trPr>
          <w:trHeight w:val="600"/>
        </w:trPr>
        <w:tc>
          <w:tcPr>
            <w:tcW w:w="1062" w:type="pct"/>
          </w:tcPr>
          <w:p w:rsidR="00CB1BE6" w:rsidRPr="00585400" w:rsidRDefault="00B809F9" w:rsidP="00CB1BE6">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What policies and procedures are in place to identify applicable legal and regulatory requirements to ensure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ouncil is complying with those requirements?</w:t>
            </w:r>
          </w:p>
          <w:p w:rsidR="00CB1BE6" w:rsidRPr="00585400" w:rsidRDefault="008C4481" w:rsidP="00CB1BE6">
            <w:pPr>
              <w:autoSpaceDE w:val="0"/>
              <w:autoSpaceDN w:val="0"/>
              <w:adjustRightInd w:val="0"/>
              <w:spacing w:after="0"/>
              <w:rPr>
                <w:rFonts w:ascii="Arial" w:eastAsia="Times New Roman" w:hAnsi="Arial" w:cs="Arial"/>
                <w:color w:val="000000"/>
                <w:szCs w:val="22"/>
                <w:lang w:eastAsia="en-GB"/>
              </w:rPr>
            </w:pPr>
          </w:p>
          <w:p w:rsidR="00CB1BE6" w:rsidRPr="00585400" w:rsidRDefault="008C4481" w:rsidP="00CB1BE6">
            <w:pPr>
              <w:autoSpaceDE w:val="0"/>
              <w:autoSpaceDN w:val="0"/>
              <w:adjustRightInd w:val="0"/>
              <w:spacing w:after="0"/>
              <w:rPr>
                <w:rFonts w:ascii="Arial" w:eastAsia="Times New Roman" w:hAnsi="Arial" w:cs="Arial"/>
                <w:color w:val="000000"/>
                <w:szCs w:val="22"/>
                <w:lang w:eastAsia="en-GB"/>
              </w:rPr>
            </w:pPr>
          </w:p>
        </w:tc>
        <w:tc>
          <w:tcPr>
            <w:tcW w:w="1969" w:type="pct"/>
          </w:tcPr>
          <w:p w:rsidR="00CB1BE6" w:rsidRPr="000E7D54" w:rsidRDefault="00B809F9" w:rsidP="00CB1BE6">
            <w:pPr>
              <w:spacing w:after="0"/>
              <w:rPr>
                <w:rFonts w:ascii="Arial" w:hAnsi="Arial" w:cs="Arial"/>
                <w:color w:val="000000"/>
                <w:szCs w:val="22"/>
                <w:lang w:eastAsia="en-GB"/>
              </w:rPr>
            </w:pPr>
            <w:r w:rsidRPr="000E7D54">
              <w:rPr>
                <w:rFonts w:ascii="Arial" w:hAnsi="Arial" w:cs="Arial"/>
                <w:color w:val="000000"/>
                <w:szCs w:val="22"/>
                <w:lang w:eastAsia="en-GB"/>
              </w:rPr>
              <w:lastRenderedPageBreak/>
              <w:t>There are a number of policies and procedures that are available to all employees via the intranet. These</w:t>
            </w:r>
          </w:p>
          <w:p w:rsidR="00CB1BE6" w:rsidRPr="000E7D54" w:rsidRDefault="00B809F9" w:rsidP="00CB1BE6">
            <w:pPr>
              <w:spacing w:after="0"/>
              <w:rPr>
                <w:rFonts w:ascii="Arial" w:hAnsi="Arial" w:cs="Arial"/>
                <w:color w:val="000000"/>
                <w:szCs w:val="22"/>
                <w:lang w:eastAsia="en-GB"/>
              </w:rPr>
            </w:pPr>
            <w:r w:rsidRPr="000E7D54">
              <w:rPr>
                <w:rFonts w:ascii="Arial" w:hAnsi="Arial" w:cs="Arial"/>
                <w:color w:val="000000"/>
                <w:szCs w:val="22"/>
                <w:lang w:eastAsia="en-GB"/>
              </w:rPr>
              <w:t>include:</w:t>
            </w:r>
          </w:p>
          <w:p w:rsidR="00083D4D" w:rsidRPr="000E7D54" w:rsidRDefault="00083D4D" w:rsidP="00CB1BE6">
            <w:pPr>
              <w:spacing w:after="0"/>
              <w:rPr>
                <w:rFonts w:ascii="Arial" w:hAnsi="Arial" w:cs="Arial"/>
                <w:color w:val="000000"/>
                <w:szCs w:val="22"/>
                <w:lang w:eastAsia="en-GB"/>
              </w:rPr>
            </w:pPr>
          </w:p>
          <w:p w:rsidR="00CB1BE6" w:rsidRPr="000E7D54" w:rsidRDefault="00B809F9" w:rsidP="00CB1BE6">
            <w:pPr>
              <w:spacing w:after="0"/>
              <w:rPr>
                <w:rFonts w:ascii="Arial" w:hAnsi="Arial" w:cs="Arial"/>
                <w:color w:val="000000"/>
                <w:szCs w:val="22"/>
                <w:lang w:eastAsia="en-GB"/>
              </w:rPr>
            </w:pPr>
            <w:r w:rsidRPr="000E7D54">
              <w:rPr>
                <w:rFonts w:ascii="Arial" w:hAnsi="Arial" w:cs="Arial"/>
                <w:color w:val="000000"/>
                <w:szCs w:val="22"/>
                <w:lang w:eastAsia="en-GB"/>
              </w:rPr>
              <w:t>- The constitution</w:t>
            </w:r>
          </w:p>
          <w:p w:rsidR="00CB1BE6" w:rsidRPr="000E7D54" w:rsidRDefault="00B809F9" w:rsidP="00CB1BE6">
            <w:pPr>
              <w:spacing w:after="0"/>
              <w:rPr>
                <w:rFonts w:ascii="Arial" w:hAnsi="Arial" w:cs="Arial"/>
                <w:color w:val="000000"/>
                <w:szCs w:val="22"/>
                <w:lang w:eastAsia="en-GB"/>
              </w:rPr>
            </w:pPr>
            <w:r w:rsidRPr="000E7D54">
              <w:rPr>
                <w:rFonts w:ascii="Arial" w:hAnsi="Arial" w:cs="Arial"/>
                <w:color w:val="000000"/>
                <w:szCs w:val="22"/>
                <w:lang w:eastAsia="en-GB"/>
              </w:rPr>
              <w:t>- Scheme of delegation</w:t>
            </w:r>
          </w:p>
          <w:p w:rsidR="00CB1BE6" w:rsidRPr="000E7D54" w:rsidRDefault="00B809F9" w:rsidP="00CB1BE6">
            <w:pPr>
              <w:spacing w:after="0"/>
              <w:rPr>
                <w:rFonts w:ascii="Arial" w:hAnsi="Arial" w:cs="Arial"/>
                <w:color w:val="000000"/>
                <w:szCs w:val="22"/>
                <w:lang w:eastAsia="en-GB"/>
              </w:rPr>
            </w:pPr>
            <w:r w:rsidRPr="000E7D54">
              <w:rPr>
                <w:rFonts w:ascii="Arial" w:hAnsi="Arial" w:cs="Arial"/>
                <w:color w:val="000000"/>
                <w:szCs w:val="22"/>
                <w:lang w:eastAsia="en-GB"/>
              </w:rPr>
              <w:t>- Political decision making arrangements</w:t>
            </w:r>
          </w:p>
          <w:p w:rsidR="00CB1BE6" w:rsidRPr="000E7D54" w:rsidRDefault="00B809F9" w:rsidP="00CB1BE6">
            <w:pPr>
              <w:spacing w:after="0"/>
              <w:rPr>
                <w:rFonts w:ascii="Arial" w:hAnsi="Arial" w:cs="Arial"/>
                <w:color w:val="000000"/>
                <w:szCs w:val="22"/>
                <w:lang w:eastAsia="en-GB"/>
              </w:rPr>
            </w:pPr>
            <w:r w:rsidRPr="000E7D54">
              <w:rPr>
                <w:rFonts w:ascii="Arial" w:hAnsi="Arial" w:cs="Arial"/>
                <w:color w:val="000000"/>
                <w:szCs w:val="22"/>
                <w:lang w:eastAsia="en-GB"/>
              </w:rPr>
              <w:lastRenderedPageBreak/>
              <w:t>- Assurance statements</w:t>
            </w:r>
          </w:p>
          <w:p w:rsidR="00CB1BE6" w:rsidRPr="000E7D54" w:rsidRDefault="008C4481" w:rsidP="00CB1BE6">
            <w:pPr>
              <w:spacing w:after="0"/>
              <w:rPr>
                <w:rFonts w:ascii="Arial" w:hAnsi="Arial" w:cs="Arial"/>
                <w:color w:val="000000"/>
                <w:szCs w:val="22"/>
                <w:lang w:eastAsia="en-GB"/>
              </w:rPr>
            </w:pPr>
          </w:p>
          <w:p w:rsidR="00CB1BE6" w:rsidRPr="000E7D54" w:rsidRDefault="00B809F9" w:rsidP="00CB1BE6">
            <w:pPr>
              <w:spacing w:after="0"/>
              <w:rPr>
                <w:rFonts w:ascii="Arial" w:hAnsi="Arial" w:cs="Arial"/>
                <w:color w:val="000000"/>
                <w:szCs w:val="22"/>
                <w:lang w:eastAsia="en-GB"/>
              </w:rPr>
            </w:pPr>
            <w:r w:rsidRPr="000E7D54">
              <w:rPr>
                <w:rFonts w:ascii="Arial" w:hAnsi="Arial" w:cs="Arial"/>
                <w:color w:val="000000"/>
                <w:szCs w:val="22"/>
                <w:lang w:eastAsia="en-GB"/>
              </w:rPr>
              <w:t>This is supplemented by internal audit reviews.</w:t>
            </w:r>
          </w:p>
          <w:p w:rsidR="00CB1BE6" w:rsidRPr="000E7D54" w:rsidRDefault="008C4481" w:rsidP="00CB1BE6">
            <w:pPr>
              <w:spacing w:after="0"/>
              <w:rPr>
                <w:rFonts w:ascii="Arial" w:hAnsi="Arial" w:cs="Arial"/>
                <w:color w:val="000000"/>
                <w:szCs w:val="22"/>
                <w:lang w:eastAsia="en-GB"/>
              </w:rPr>
            </w:pPr>
          </w:p>
          <w:p w:rsidR="00CB1BE6" w:rsidRPr="0010496A" w:rsidRDefault="00B809F9" w:rsidP="00CB1BE6">
            <w:pPr>
              <w:spacing w:after="0"/>
              <w:rPr>
                <w:rFonts w:ascii="Arial" w:hAnsi="Arial" w:cs="Arial"/>
                <w:color w:val="000000"/>
                <w:szCs w:val="22"/>
                <w:highlight w:val="yellow"/>
                <w:lang w:eastAsia="en-GB"/>
              </w:rPr>
            </w:pPr>
            <w:r w:rsidRPr="000E7D54">
              <w:rPr>
                <w:rFonts w:ascii="Arial" w:hAnsi="Arial" w:cs="Arial"/>
                <w:color w:val="000000"/>
                <w:szCs w:val="22"/>
                <w:lang w:eastAsia="en-GB"/>
              </w:rPr>
              <w:t>Also, all committee reports are required to undergo an internal clearance process whereby relevant input is obtained from finance, legal, procurement, HR and other support services, before decisions are taken.</w:t>
            </w:r>
          </w:p>
        </w:tc>
        <w:tc>
          <w:tcPr>
            <w:tcW w:w="1969" w:type="pct"/>
          </w:tcPr>
          <w:p w:rsidR="00CB1BE6" w:rsidRPr="001F4FA7" w:rsidRDefault="00B809F9" w:rsidP="00CB1BE6">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lastRenderedPageBreak/>
              <w:t>Head of Fund is designated as the officer responsible for the management of the Fund.</w:t>
            </w:r>
          </w:p>
          <w:p w:rsidR="00CB1BE6" w:rsidRPr="001F4FA7" w:rsidRDefault="008C4481" w:rsidP="00CB1BE6">
            <w:pPr>
              <w:spacing w:after="0"/>
              <w:rPr>
                <w:rFonts w:ascii="Arial" w:eastAsia="Times New Roman" w:hAnsi="Arial" w:cs="Arial"/>
                <w:color w:val="000000"/>
                <w:szCs w:val="22"/>
                <w:lang w:eastAsia="en-GB"/>
              </w:rPr>
            </w:pPr>
          </w:p>
          <w:p w:rsidR="00CB1BE6" w:rsidRPr="001F4FA7" w:rsidRDefault="00B809F9" w:rsidP="00CB1BE6">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Pension Fund Committee approves the annual governance compliance statement which is prepared by the Head of Fund.</w:t>
            </w:r>
          </w:p>
          <w:p w:rsidR="00CB1BE6" w:rsidRPr="001F4FA7" w:rsidRDefault="008C4481" w:rsidP="00CB1BE6">
            <w:pPr>
              <w:spacing w:after="0"/>
              <w:rPr>
                <w:rFonts w:ascii="Arial" w:eastAsia="Times New Roman" w:hAnsi="Arial" w:cs="Arial"/>
                <w:color w:val="000000"/>
                <w:szCs w:val="22"/>
                <w:lang w:eastAsia="en-GB"/>
              </w:rPr>
            </w:pPr>
          </w:p>
          <w:p w:rsidR="00CB1BE6" w:rsidRPr="001F4FA7" w:rsidRDefault="00B809F9" w:rsidP="00CB1BE6">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lastRenderedPageBreak/>
              <w:t>Pension Fund Committee undertakes training to ensure possession of the sufficient skills, information and resources.</w:t>
            </w:r>
          </w:p>
          <w:p w:rsidR="00CB1BE6" w:rsidRPr="003D4279" w:rsidRDefault="008C4481" w:rsidP="00CB1BE6">
            <w:pPr>
              <w:spacing w:after="0"/>
              <w:rPr>
                <w:rFonts w:ascii="Arial" w:eastAsia="Times New Roman" w:hAnsi="Arial" w:cs="Arial"/>
                <w:color w:val="000000"/>
                <w:szCs w:val="22"/>
                <w:highlight w:val="magenta"/>
                <w:lang w:eastAsia="en-GB"/>
              </w:rPr>
            </w:pPr>
          </w:p>
          <w:p w:rsidR="00CB1BE6" w:rsidRDefault="00B809F9" w:rsidP="00CB1BE6">
            <w:pPr>
              <w:spacing w:after="0"/>
              <w:rPr>
                <w:rFonts w:ascii="Arial" w:eastAsia="Times New Roman" w:hAnsi="Arial" w:cs="Arial"/>
                <w:color w:val="000000"/>
                <w:szCs w:val="22"/>
                <w:lang w:eastAsia="en-GB"/>
              </w:rPr>
            </w:pPr>
            <w:r w:rsidRPr="004C64C7">
              <w:rPr>
                <w:rFonts w:ascii="Arial" w:eastAsia="Times New Roman" w:hAnsi="Arial" w:cs="Arial"/>
                <w:color w:val="000000"/>
                <w:szCs w:val="22"/>
                <w:lang w:eastAsia="en-GB"/>
              </w:rPr>
              <w:t>Local Pensions Board assists the council in ensuring compliance with LGPS and other regulations.</w:t>
            </w:r>
          </w:p>
          <w:p w:rsidR="004C64C7" w:rsidRPr="004C64C7" w:rsidRDefault="008C4481" w:rsidP="00CB1BE6">
            <w:pPr>
              <w:spacing w:after="0"/>
              <w:rPr>
                <w:rFonts w:ascii="Arial" w:eastAsia="Times New Roman" w:hAnsi="Arial" w:cs="Arial"/>
                <w:color w:val="000000"/>
                <w:szCs w:val="22"/>
                <w:lang w:eastAsia="en-GB"/>
              </w:rPr>
            </w:pPr>
          </w:p>
          <w:p w:rsidR="00CB1BE6" w:rsidRPr="004C64C7" w:rsidRDefault="00B809F9" w:rsidP="00CB1BE6">
            <w:pPr>
              <w:spacing w:after="0"/>
              <w:rPr>
                <w:rFonts w:ascii="Arial" w:eastAsia="Times New Roman" w:hAnsi="Arial" w:cs="Arial"/>
                <w:color w:val="000000"/>
                <w:szCs w:val="22"/>
                <w:lang w:eastAsia="en-GB"/>
              </w:rPr>
            </w:pPr>
            <w:r w:rsidRPr="004C64C7">
              <w:rPr>
                <w:rFonts w:ascii="Arial" w:eastAsia="Times New Roman" w:hAnsi="Arial" w:cs="Arial"/>
                <w:color w:val="000000"/>
                <w:szCs w:val="22"/>
                <w:lang w:eastAsia="en-GB"/>
              </w:rPr>
              <w:t>The Fund is a member of the CIPFA pension network and other local networking groups.</w:t>
            </w:r>
          </w:p>
          <w:p w:rsidR="00081D9F" w:rsidRPr="003D4279" w:rsidRDefault="008C4481" w:rsidP="00CB1BE6">
            <w:pPr>
              <w:spacing w:after="0"/>
              <w:rPr>
                <w:rFonts w:ascii="Arial" w:eastAsia="Times New Roman" w:hAnsi="Arial" w:cs="Arial"/>
                <w:color w:val="000000"/>
                <w:szCs w:val="22"/>
                <w:highlight w:val="magenta"/>
                <w:lang w:eastAsia="en-GB"/>
              </w:rPr>
            </w:pPr>
          </w:p>
          <w:p w:rsidR="00CB1BE6" w:rsidRPr="004C64C7" w:rsidRDefault="00B809F9" w:rsidP="00CB1BE6">
            <w:pPr>
              <w:spacing w:after="0"/>
              <w:rPr>
                <w:rFonts w:ascii="Arial" w:eastAsia="Times New Roman" w:hAnsi="Arial" w:cs="Arial"/>
                <w:color w:val="000000"/>
                <w:szCs w:val="22"/>
                <w:lang w:eastAsia="en-GB"/>
              </w:rPr>
            </w:pPr>
            <w:r w:rsidRPr="004C64C7">
              <w:rPr>
                <w:rFonts w:ascii="Arial" w:eastAsia="Times New Roman" w:hAnsi="Arial" w:cs="Arial"/>
                <w:color w:val="000000"/>
                <w:szCs w:val="22"/>
                <w:lang w:eastAsia="en-GB"/>
              </w:rPr>
              <w:t>There is regular attendance of training and conference events to remain fully aware of current and developing laws and regulations.</w:t>
            </w:r>
          </w:p>
          <w:p w:rsidR="00CB1BE6" w:rsidRPr="003D4279" w:rsidRDefault="008C4481" w:rsidP="00CB1BE6">
            <w:pPr>
              <w:spacing w:after="0"/>
              <w:rPr>
                <w:rFonts w:ascii="Arial" w:eastAsia="Times New Roman" w:hAnsi="Arial" w:cs="Arial"/>
                <w:color w:val="000000"/>
                <w:szCs w:val="22"/>
                <w:highlight w:val="magenta"/>
                <w:lang w:eastAsia="en-GB"/>
              </w:rPr>
            </w:pPr>
          </w:p>
        </w:tc>
      </w:tr>
      <w:tr w:rsidR="00E85B06" w:rsidTr="003C457D">
        <w:trPr>
          <w:trHeight w:val="600"/>
        </w:trPr>
        <w:tc>
          <w:tcPr>
            <w:tcW w:w="1062" w:type="pct"/>
          </w:tcPr>
          <w:p w:rsidR="00CB1BE6" w:rsidRPr="00585400" w:rsidRDefault="00B809F9" w:rsidP="00CB1BE6">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lastRenderedPageBreak/>
              <w:t>How would you assess the process for reviewing the effectiveness of internal control and what are the results?</w:t>
            </w:r>
          </w:p>
          <w:p w:rsidR="00CB1BE6" w:rsidRPr="00585400" w:rsidRDefault="008C4481" w:rsidP="00CB1BE6">
            <w:pPr>
              <w:autoSpaceDE w:val="0"/>
              <w:autoSpaceDN w:val="0"/>
              <w:adjustRightInd w:val="0"/>
              <w:spacing w:after="0"/>
              <w:rPr>
                <w:rFonts w:ascii="Arial" w:eastAsia="Times New Roman" w:hAnsi="Arial" w:cs="Arial"/>
                <w:color w:val="000000"/>
                <w:szCs w:val="22"/>
                <w:lang w:eastAsia="en-GB"/>
              </w:rPr>
            </w:pPr>
          </w:p>
          <w:p w:rsidR="00CB1BE6" w:rsidRPr="00585400" w:rsidRDefault="008C4481" w:rsidP="00CB1BE6">
            <w:pPr>
              <w:autoSpaceDE w:val="0"/>
              <w:autoSpaceDN w:val="0"/>
              <w:adjustRightInd w:val="0"/>
              <w:spacing w:after="0"/>
              <w:rPr>
                <w:rFonts w:ascii="Arial" w:eastAsia="Times New Roman" w:hAnsi="Arial" w:cs="Arial"/>
                <w:color w:val="000000"/>
                <w:szCs w:val="22"/>
                <w:lang w:eastAsia="en-GB"/>
              </w:rPr>
            </w:pPr>
          </w:p>
        </w:tc>
        <w:tc>
          <w:tcPr>
            <w:tcW w:w="1969" w:type="pct"/>
          </w:tcPr>
          <w:p w:rsidR="00CB1BE6" w:rsidRPr="000E7D54" w:rsidRDefault="00B809F9" w:rsidP="00CB1BE6">
            <w:pPr>
              <w:autoSpaceDE w:val="0"/>
              <w:autoSpaceDN w:val="0"/>
              <w:adjustRightInd w:val="0"/>
              <w:spacing w:after="0"/>
              <w:rPr>
                <w:rFonts w:ascii="Arial" w:hAnsi="Arial" w:cs="Arial"/>
                <w:szCs w:val="22"/>
                <w:lang w:eastAsia="en-GB"/>
              </w:rPr>
            </w:pPr>
            <w:r w:rsidRPr="000E7D54">
              <w:rPr>
                <w:rFonts w:ascii="Arial" w:hAnsi="Arial" w:cs="Arial"/>
                <w:szCs w:val="22"/>
                <w:lang w:eastAsia="en-GB"/>
              </w:rPr>
              <w:t>The adequacy and effectiveness of internal control is assessed through an annual programme of internal audit work, and through management's own assessment of their controls' effectiveness.</w:t>
            </w:r>
          </w:p>
          <w:p w:rsidR="00CB1BE6" w:rsidRPr="000E7D54" w:rsidRDefault="008C4481" w:rsidP="00CB1BE6">
            <w:pPr>
              <w:autoSpaceDE w:val="0"/>
              <w:autoSpaceDN w:val="0"/>
              <w:adjustRightInd w:val="0"/>
              <w:spacing w:after="0"/>
              <w:rPr>
                <w:rFonts w:ascii="Arial" w:hAnsi="Arial" w:cs="Arial"/>
                <w:szCs w:val="22"/>
                <w:lang w:eastAsia="en-GB"/>
              </w:rPr>
            </w:pPr>
          </w:p>
          <w:p w:rsidR="00CB1BE6" w:rsidRPr="0010496A" w:rsidRDefault="00B809F9" w:rsidP="00CB1BE6">
            <w:pPr>
              <w:spacing w:after="0"/>
              <w:rPr>
                <w:rFonts w:ascii="Arial" w:hAnsi="Arial" w:cs="Arial"/>
                <w:color w:val="000000"/>
                <w:szCs w:val="22"/>
                <w:highlight w:val="yellow"/>
                <w:lang w:eastAsia="en-GB"/>
              </w:rPr>
            </w:pPr>
            <w:r w:rsidRPr="000E7D54">
              <w:rPr>
                <w:rFonts w:ascii="Arial" w:hAnsi="Arial" w:cs="Arial"/>
                <w:szCs w:val="22"/>
                <w:lang w:eastAsia="en-GB"/>
              </w:rPr>
              <w:t>The results of these assessments are likely to be that, overall, moderate assurance can be taken that the council's internal controls are adequately designed and effectively operated.</w:t>
            </w:r>
          </w:p>
        </w:tc>
        <w:tc>
          <w:tcPr>
            <w:tcW w:w="1969" w:type="pct"/>
          </w:tcPr>
          <w:p w:rsidR="00BB3A5C" w:rsidRPr="00A54D21" w:rsidRDefault="00B809F9" w:rsidP="00CA5845">
            <w:pPr>
              <w:rPr>
                <w:rFonts w:ascii="Arial" w:hAnsi="Arial" w:cs="Arial"/>
                <w:szCs w:val="22"/>
                <w:highlight w:val="magenta"/>
                <w:lang w:eastAsia="en-GB"/>
              </w:rPr>
            </w:pPr>
            <w:r w:rsidRPr="00A54D21">
              <w:rPr>
                <w:rFonts w:ascii="Arial" w:hAnsi="Arial" w:cs="Arial"/>
                <w:lang w:eastAsia="en-GB"/>
              </w:rPr>
              <w:t xml:space="preserve">The adequacy and effectiveness of internal control is assessed through an annual programme of internal audit work. The council's oversight of the Pension Fund is audited by the council's own internal audit service which has given substantial assurance when reporting on </w:t>
            </w:r>
            <w:r>
              <w:rPr>
                <w:rFonts w:ascii="Arial" w:hAnsi="Arial" w:cs="Arial"/>
                <w:lang w:eastAsia="en-GB"/>
              </w:rPr>
              <w:t>oversight of the</w:t>
            </w:r>
            <w:r w:rsidRPr="00A54D21">
              <w:rPr>
                <w:rFonts w:ascii="Arial" w:hAnsi="Arial" w:cs="Arial"/>
                <w:lang w:eastAsia="en-GB"/>
              </w:rPr>
              <w:t xml:space="preserve"> Pension Fund.  Substantial </w:t>
            </w:r>
            <w:r>
              <w:rPr>
                <w:rFonts w:ascii="Arial" w:hAnsi="Arial" w:cs="Arial"/>
                <w:lang w:eastAsia="en-GB"/>
              </w:rPr>
              <w:t>assurance concludes</w:t>
            </w:r>
            <w:r w:rsidRPr="00A54D21">
              <w:rPr>
                <w:rFonts w:ascii="Arial" w:hAnsi="Arial" w:cs="Arial"/>
                <w:lang w:eastAsia="en-GB"/>
              </w:rPr>
              <w:t xml:space="preserve"> that </w:t>
            </w:r>
            <w:r w:rsidRPr="00A54D21">
              <w:rPr>
                <w:rFonts w:ascii="Arial" w:hAnsi="Arial" w:cs="Arial"/>
              </w:rPr>
              <w:t>the framework of control is adequately designed and/ or effectively operated.</w:t>
            </w:r>
          </w:p>
          <w:p w:rsidR="00CB1BE6" w:rsidRPr="00A54D21" w:rsidRDefault="00B809F9" w:rsidP="004C64C7">
            <w:pPr>
              <w:spacing w:after="0"/>
              <w:rPr>
                <w:rFonts w:ascii="Arial" w:hAnsi="Arial" w:cs="Arial"/>
                <w:szCs w:val="22"/>
                <w:lang w:eastAsia="en-GB"/>
              </w:rPr>
            </w:pPr>
            <w:r w:rsidRPr="00A54D21">
              <w:rPr>
                <w:rFonts w:ascii="Arial" w:hAnsi="Arial" w:cs="Arial"/>
                <w:szCs w:val="22"/>
                <w:lang w:eastAsia="en-GB"/>
              </w:rPr>
              <w:t>The service company appointed to administer the fund has appointed its own internal auditor who also follows an annual programme of internal audit work.</w:t>
            </w:r>
          </w:p>
          <w:p w:rsidR="004C64C7" w:rsidRPr="00A54D21" w:rsidRDefault="008C4481" w:rsidP="004C64C7">
            <w:pPr>
              <w:spacing w:after="0"/>
              <w:rPr>
                <w:rFonts w:ascii="Arial" w:eastAsia="Times New Roman" w:hAnsi="Arial" w:cs="Arial"/>
                <w:color w:val="000000"/>
                <w:szCs w:val="22"/>
                <w:highlight w:val="magenta"/>
                <w:lang w:eastAsia="en-GB"/>
              </w:rPr>
            </w:pPr>
          </w:p>
        </w:tc>
      </w:tr>
      <w:tr w:rsidR="00E85B06" w:rsidTr="003C457D">
        <w:trPr>
          <w:trHeight w:val="900"/>
        </w:trPr>
        <w:tc>
          <w:tcPr>
            <w:tcW w:w="1062" w:type="pct"/>
          </w:tcPr>
          <w:p w:rsidR="00D74EC1" w:rsidRPr="00585400" w:rsidRDefault="00B809F9" w:rsidP="00D74EC1">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How </w:t>
            </w:r>
            <w:proofErr w:type="gramStart"/>
            <w:r w:rsidRPr="00585400">
              <w:rPr>
                <w:rFonts w:ascii="Arial" w:eastAsia="Times New Roman" w:hAnsi="Arial" w:cs="Arial"/>
                <w:color w:val="000000"/>
                <w:szCs w:val="22"/>
                <w:lang w:eastAsia="en-GB"/>
              </w:rPr>
              <w:t xml:space="preserve">does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ouncil’s risk management</w:t>
            </w:r>
            <w:proofErr w:type="gramEnd"/>
            <w:r w:rsidRPr="00585400">
              <w:rPr>
                <w:rFonts w:ascii="Arial" w:eastAsia="Times New Roman" w:hAnsi="Arial" w:cs="Arial"/>
                <w:color w:val="000000"/>
                <w:szCs w:val="22"/>
                <w:lang w:eastAsia="en-GB"/>
              </w:rPr>
              <w:t xml:space="preserve"> processes link to financial reporting?</w:t>
            </w:r>
          </w:p>
          <w:p w:rsidR="00D74EC1" w:rsidRPr="00585400" w:rsidRDefault="008C4481" w:rsidP="00D74EC1">
            <w:pPr>
              <w:autoSpaceDE w:val="0"/>
              <w:autoSpaceDN w:val="0"/>
              <w:adjustRightInd w:val="0"/>
              <w:spacing w:after="0"/>
              <w:rPr>
                <w:rFonts w:ascii="Arial" w:eastAsia="Times New Roman" w:hAnsi="Arial" w:cs="Arial"/>
                <w:color w:val="000000"/>
                <w:szCs w:val="22"/>
                <w:lang w:eastAsia="en-GB"/>
              </w:rPr>
            </w:pPr>
          </w:p>
          <w:p w:rsidR="00D74EC1" w:rsidRPr="00585400" w:rsidRDefault="008C4481" w:rsidP="00D74EC1">
            <w:pPr>
              <w:autoSpaceDE w:val="0"/>
              <w:autoSpaceDN w:val="0"/>
              <w:adjustRightInd w:val="0"/>
              <w:spacing w:after="0"/>
              <w:rPr>
                <w:rFonts w:ascii="Arial" w:eastAsia="Times New Roman" w:hAnsi="Arial" w:cs="Arial"/>
                <w:color w:val="000000"/>
                <w:szCs w:val="22"/>
                <w:lang w:eastAsia="en-GB"/>
              </w:rPr>
            </w:pPr>
          </w:p>
          <w:p w:rsidR="00D74EC1" w:rsidRPr="00585400" w:rsidRDefault="008C4481" w:rsidP="00D74EC1">
            <w:pPr>
              <w:autoSpaceDE w:val="0"/>
              <w:autoSpaceDN w:val="0"/>
              <w:adjustRightInd w:val="0"/>
              <w:spacing w:after="0"/>
              <w:rPr>
                <w:rFonts w:ascii="Arial" w:eastAsia="Times New Roman" w:hAnsi="Arial" w:cs="Arial"/>
                <w:color w:val="000000"/>
                <w:szCs w:val="22"/>
                <w:lang w:eastAsia="en-GB"/>
              </w:rPr>
            </w:pPr>
          </w:p>
        </w:tc>
        <w:tc>
          <w:tcPr>
            <w:tcW w:w="1969" w:type="pct"/>
          </w:tcPr>
          <w:p w:rsidR="00D74EC1" w:rsidRPr="000E7D54" w:rsidRDefault="00B809F9" w:rsidP="00D74EC1">
            <w:pPr>
              <w:spacing w:after="0"/>
              <w:rPr>
                <w:rFonts w:ascii="Arial" w:hAnsi="Arial" w:cs="Arial"/>
                <w:color w:val="000000"/>
                <w:szCs w:val="22"/>
                <w:lang w:eastAsia="en-GB"/>
              </w:rPr>
            </w:pPr>
            <w:r w:rsidRPr="000E7D54">
              <w:rPr>
                <w:rFonts w:ascii="Arial" w:hAnsi="Arial" w:cs="Arial"/>
                <w:color w:val="000000"/>
                <w:szCs w:val="22"/>
                <w:lang w:eastAsia="en-GB"/>
              </w:rPr>
              <w:t>The council's financial position is identified as a risk</w:t>
            </w:r>
            <w:r w:rsidR="00083D4D">
              <w:rPr>
                <w:rFonts w:ascii="Arial" w:hAnsi="Arial" w:cs="Arial"/>
                <w:color w:val="000000"/>
                <w:szCs w:val="22"/>
                <w:lang w:eastAsia="en-GB"/>
              </w:rPr>
              <w:t xml:space="preserve"> factor</w:t>
            </w:r>
            <w:r w:rsidRPr="000E7D54">
              <w:rPr>
                <w:rFonts w:ascii="Arial" w:hAnsi="Arial" w:cs="Arial"/>
                <w:color w:val="000000"/>
                <w:szCs w:val="22"/>
                <w:lang w:eastAsia="en-GB"/>
              </w:rPr>
              <w:t xml:space="preserve"> on the council's risk register. </w:t>
            </w:r>
          </w:p>
          <w:p w:rsidR="00D74EC1" w:rsidRPr="000E7D54" w:rsidRDefault="008C4481" w:rsidP="00D74EC1">
            <w:pPr>
              <w:spacing w:after="0"/>
              <w:rPr>
                <w:rFonts w:ascii="Arial" w:hAnsi="Arial" w:cs="Arial"/>
                <w:color w:val="000000"/>
                <w:szCs w:val="22"/>
                <w:lang w:eastAsia="en-GB"/>
              </w:rPr>
            </w:pPr>
          </w:p>
          <w:p w:rsidR="00D74EC1" w:rsidRPr="000E7D54" w:rsidRDefault="00B809F9" w:rsidP="00D74EC1">
            <w:pPr>
              <w:spacing w:after="0"/>
              <w:rPr>
                <w:rFonts w:ascii="Arial" w:hAnsi="Arial" w:cs="Arial"/>
                <w:color w:val="000000"/>
                <w:szCs w:val="22"/>
                <w:lang w:eastAsia="en-GB"/>
              </w:rPr>
            </w:pPr>
            <w:r w:rsidRPr="000E7D54">
              <w:rPr>
                <w:rFonts w:ascii="Arial" w:hAnsi="Arial" w:cs="Arial"/>
                <w:color w:val="000000"/>
                <w:szCs w:val="22"/>
                <w:lang w:eastAsia="en-GB"/>
              </w:rPr>
              <w:t>The council's senior management and political leadership regularly receive reports on the council's current and longer term financial position.</w:t>
            </w:r>
          </w:p>
          <w:p w:rsidR="00D74EC1" w:rsidRPr="000E7D54" w:rsidRDefault="008C4481" w:rsidP="00D74EC1">
            <w:pPr>
              <w:spacing w:after="0"/>
              <w:rPr>
                <w:rFonts w:ascii="Arial" w:hAnsi="Arial" w:cs="Arial"/>
                <w:color w:val="000000"/>
                <w:szCs w:val="22"/>
                <w:lang w:eastAsia="en-GB"/>
              </w:rPr>
            </w:pPr>
          </w:p>
          <w:p w:rsidR="00D74EC1" w:rsidRPr="000E7D54" w:rsidRDefault="00B809F9" w:rsidP="00D74EC1">
            <w:pPr>
              <w:spacing w:after="0"/>
              <w:rPr>
                <w:rFonts w:ascii="Arial" w:hAnsi="Arial" w:cs="Arial"/>
                <w:color w:val="000000"/>
                <w:szCs w:val="22"/>
                <w:lang w:eastAsia="en-GB"/>
              </w:rPr>
            </w:pPr>
            <w:r w:rsidRPr="000E7D54">
              <w:rPr>
                <w:rFonts w:ascii="Arial" w:hAnsi="Arial" w:cs="Arial"/>
                <w:color w:val="000000"/>
                <w:szCs w:val="22"/>
                <w:lang w:eastAsia="en-GB"/>
              </w:rPr>
              <w:t>Financial reports are produced routinely on a monthly basis with an annualised forecast produced by budget holders with support from the finance team for more complex service areas such as adult social care.</w:t>
            </w:r>
          </w:p>
          <w:p w:rsidR="00D74EC1" w:rsidRPr="000E7D54" w:rsidRDefault="008C4481" w:rsidP="00D74EC1">
            <w:pPr>
              <w:spacing w:after="0"/>
              <w:rPr>
                <w:rFonts w:ascii="Arial" w:hAnsi="Arial" w:cs="Arial"/>
                <w:color w:val="000000"/>
                <w:szCs w:val="22"/>
                <w:lang w:eastAsia="en-GB"/>
              </w:rPr>
            </w:pPr>
          </w:p>
          <w:p w:rsidR="00D74EC1" w:rsidRPr="000E7D54" w:rsidRDefault="00B809F9" w:rsidP="00D74EC1">
            <w:pPr>
              <w:spacing w:after="0"/>
              <w:rPr>
                <w:rFonts w:ascii="Arial" w:hAnsi="Arial" w:cs="Arial"/>
                <w:color w:val="000000"/>
                <w:szCs w:val="22"/>
                <w:lang w:eastAsia="en-GB"/>
              </w:rPr>
            </w:pPr>
            <w:r w:rsidRPr="000E7D54">
              <w:rPr>
                <w:rFonts w:ascii="Arial" w:hAnsi="Arial" w:cs="Arial"/>
                <w:color w:val="000000"/>
                <w:szCs w:val="22"/>
                <w:lang w:eastAsia="en-GB"/>
              </w:rPr>
              <w:lastRenderedPageBreak/>
              <w:t>Budgets are composed on a hierarchical basis, such that the level of reporting from detail to corporate summary can be obtained dependant on need.</w:t>
            </w:r>
          </w:p>
          <w:p w:rsidR="00D74EC1" w:rsidRPr="000E7D54" w:rsidRDefault="008C4481" w:rsidP="00D74EC1">
            <w:pPr>
              <w:spacing w:after="0"/>
              <w:rPr>
                <w:rFonts w:ascii="Arial" w:hAnsi="Arial" w:cs="Arial"/>
                <w:color w:val="000000"/>
                <w:szCs w:val="22"/>
                <w:lang w:eastAsia="en-GB"/>
              </w:rPr>
            </w:pPr>
          </w:p>
          <w:p w:rsidR="00D74EC1" w:rsidRPr="000E7D54" w:rsidRDefault="00B809F9" w:rsidP="00D74EC1">
            <w:pPr>
              <w:spacing w:after="0"/>
              <w:rPr>
                <w:rFonts w:ascii="Arial" w:hAnsi="Arial" w:cs="Arial"/>
                <w:color w:val="000000"/>
                <w:szCs w:val="22"/>
                <w:lang w:eastAsia="en-GB"/>
              </w:rPr>
            </w:pPr>
            <w:r w:rsidRPr="000E7D54">
              <w:rPr>
                <w:rFonts w:ascii="Arial" w:hAnsi="Arial" w:cs="Arial"/>
                <w:color w:val="000000"/>
                <w:szCs w:val="22"/>
                <w:lang w:eastAsia="en-GB"/>
              </w:rPr>
              <w:t>The financial position is reported to Cabinet on a quarterly basis, which provides a commentary on the main risks and opportunities to date. Particularly focussing on the high value and demand led services such as waste, children and adult's social care.</w:t>
            </w:r>
          </w:p>
          <w:p w:rsidR="00BB3A5C" w:rsidRPr="000E7D54" w:rsidRDefault="008C4481" w:rsidP="00D74EC1">
            <w:pPr>
              <w:spacing w:after="0"/>
              <w:rPr>
                <w:rFonts w:ascii="Arial" w:hAnsi="Arial" w:cs="Arial"/>
                <w:color w:val="000000"/>
                <w:szCs w:val="22"/>
                <w:lang w:eastAsia="en-GB"/>
              </w:rPr>
            </w:pPr>
          </w:p>
          <w:p w:rsidR="00D74EC1" w:rsidRPr="000E7D54" w:rsidRDefault="00B809F9" w:rsidP="00D74EC1">
            <w:pPr>
              <w:spacing w:after="0"/>
              <w:rPr>
                <w:rFonts w:ascii="Arial" w:hAnsi="Arial" w:cs="Arial"/>
                <w:color w:val="000000"/>
                <w:szCs w:val="22"/>
                <w:lang w:eastAsia="en-GB"/>
              </w:rPr>
            </w:pPr>
            <w:r w:rsidRPr="000E7D54">
              <w:rPr>
                <w:rFonts w:ascii="Arial" w:hAnsi="Arial" w:cs="Arial"/>
                <w:color w:val="000000"/>
                <w:szCs w:val="22"/>
                <w:lang w:eastAsia="en-GB"/>
              </w:rPr>
              <w:t>Corporate accountability for budgets is held at Director and Heads of Service levels, allowing for corrective actions to be employed effectively at an appropriate scale.</w:t>
            </w:r>
          </w:p>
          <w:p w:rsidR="00D74EC1" w:rsidRPr="000E7D54" w:rsidRDefault="008C4481" w:rsidP="00D74EC1">
            <w:pPr>
              <w:spacing w:after="0"/>
              <w:rPr>
                <w:rFonts w:ascii="Arial" w:hAnsi="Arial" w:cs="Arial"/>
                <w:color w:val="000000"/>
                <w:szCs w:val="22"/>
                <w:lang w:eastAsia="en-GB"/>
              </w:rPr>
            </w:pPr>
          </w:p>
          <w:p w:rsidR="00D74EC1" w:rsidRPr="000E7D54" w:rsidRDefault="00B809F9" w:rsidP="00D74EC1">
            <w:pPr>
              <w:spacing w:after="0"/>
              <w:rPr>
                <w:rFonts w:ascii="Arial" w:hAnsi="Arial" w:cs="Arial"/>
                <w:color w:val="000000"/>
                <w:szCs w:val="22"/>
                <w:lang w:eastAsia="en-GB"/>
              </w:rPr>
            </w:pPr>
            <w:r w:rsidRPr="000E7D54">
              <w:rPr>
                <w:rFonts w:ascii="Arial" w:hAnsi="Arial" w:cs="Arial"/>
                <w:color w:val="000000"/>
                <w:szCs w:val="22"/>
                <w:lang w:eastAsia="en-GB"/>
              </w:rPr>
              <w:t>The council continues to look to improve the integration of reporting across finance, performance and human resources such as to further support risk management outcomes.</w:t>
            </w:r>
          </w:p>
          <w:p w:rsidR="00D74EC1" w:rsidRPr="000E7D54" w:rsidRDefault="008C4481" w:rsidP="00D74EC1">
            <w:pPr>
              <w:spacing w:after="0"/>
              <w:rPr>
                <w:rFonts w:ascii="Arial" w:hAnsi="Arial" w:cs="Arial"/>
                <w:color w:val="000000"/>
                <w:szCs w:val="22"/>
                <w:lang w:eastAsia="en-GB"/>
              </w:rPr>
            </w:pPr>
          </w:p>
        </w:tc>
        <w:tc>
          <w:tcPr>
            <w:tcW w:w="1969" w:type="pct"/>
          </w:tcPr>
          <w:p w:rsidR="00D74EC1" w:rsidRDefault="00B809F9" w:rsidP="000D420A">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lastRenderedPageBreak/>
              <w:t>Any significant identified risk areas are accounted for in accordance with the CIPFA Code and additional CIPFA guidance</w:t>
            </w:r>
            <w:r>
              <w:rPr>
                <w:rFonts w:ascii="Arial" w:eastAsia="Times New Roman" w:hAnsi="Arial" w:cs="Arial"/>
                <w:color w:val="000000"/>
                <w:szCs w:val="22"/>
                <w:lang w:eastAsia="en-GB"/>
              </w:rPr>
              <w:t>.</w:t>
            </w:r>
          </w:p>
          <w:p w:rsidR="004C64C7" w:rsidRDefault="008C4481" w:rsidP="000D420A">
            <w:pPr>
              <w:spacing w:after="0"/>
              <w:rPr>
                <w:rFonts w:ascii="Arial" w:eastAsia="Times New Roman" w:hAnsi="Arial" w:cs="Arial"/>
                <w:color w:val="000000"/>
                <w:szCs w:val="22"/>
                <w:lang w:eastAsia="en-GB"/>
              </w:rPr>
            </w:pPr>
          </w:p>
          <w:p w:rsidR="004C64C7" w:rsidRPr="0010496A" w:rsidRDefault="00B809F9" w:rsidP="000D420A">
            <w:pPr>
              <w:spacing w:after="0"/>
              <w:rPr>
                <w:rFonts w:ascii="Arial" w:eastAsia="Times New Roman" w:hAnsi="Arial" w:cs="Arial"/>
                <w:color w:val="000000"/>
                <w:szCs w:val="22"/>
                <w:highlight w:val="yellow"/>
                <w:lang w:eastAsia="en-GB"/>
              </w:rPr>
            </w:pPr>
            <w:r>
              <w:rPr>
                <w:rFonts w:ascii="Arial" w:eastAsia="Times New Roman" w:hAnsi="Arial" w:cs="Arial"/>
                <w:color w:val="000000"/>
                <w:szCs w:val="22"/>
                <w:lang w:eastAsia="en-GB"/>
              </w:rPr>
              <w:t>A budget is approved by Pension Fund Committee on an annual basis and actual financial performance is monitored against budget on a quarterly basis with commentary to support variances and updated forecasts reported to the Committee on a quarterly basis.</w:t>
            </w:r>
          </w:p>
        </w:tc>
      </w:tr>
      <w:tr w:rsidR="00E85B06" w:rsidTr="003C457D">
        <w:trPr>
          <w:trHeight w:val="600"/>
        </w:trPr>
        <w:tc>
          <w:tcPr>
            <w:tcW w:w="1062" w:type="pct"/>
          </w:tcPr>
          <w:p w:rsidR="00D74EC1" w:rsidRPr="00585400" w:rsidRDefault="00B809F9" w:rsidP="00D74EC1">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How would you assess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 xml:space="preserve">ouncil’s arrangements for identifying and responding to the risk of fraud? </w:t>
            </w:r>
          </w:p>
          <w:p w:rsidR="00D74EC1" w:rsidRPr="00585400" w:rsidRDefault="008C4481" w:rsidP="00D74EC1">
            <w:pPr>
              <w:autoSpaceDE w:val="0"/>
              <w:autoSpaceDN w:val="0"/>
              <w:adjustRightInd w:val="0"/>
              <w:spacing w:after="0"/>
              <w:rPr>
                <w:rFonts w:ascii="Arial" w:eastAsia="Times New Roman" w:hAnsi="Arial" w:cs="Arial"/>
                <w:color w:val="000000"/>
                <w:szCs w:val="22"/>
                <w:lang w:eastAsia="en-GB"/>
              </w:rPr>
            </w:pPr>
          </w:p>
          <w:p w:rsidR="00D74EC1" w:rsidRPr="00585400" w:rsidRDefault="008C4481" w:rsidP="00D74EC1">
            <w:pPr>
              <w:autoSpaceDE w:val="0"/>
              <w:autoSpaceDN w:val="0"/>
              <w:adjustRightInd w:val="0"/>
              <w:spacing w:after="0"/>
              <w:rPr>
                <w:rFonts w:ascii="Arial" w:eastAsia="Times New Roman" w:hAnsi="Arial" w:cs="Arial"/>
                <w:color w:val="000000"/>
                <w:szCs w:val="22"/>
                <w:lang w:eastAsia="en-GB"/>
              </w:rPr>
            </w:pPr>
          </w:p>
          <w:p w:rsidR="00D74EC1" w:rsidRPr="00585400" w:rsidRDefault="008C4481" w:rsidP="00D74EC1">
            <w:pPr>
              <w:autoSpaceDE w:val="0"/>
              <w:autoSpaceDN w:val="0"/>
              <w:adjustRightInd w:val="0"/>
              <w:spacing w:after="0"/>
              <w:rPr>
                <w:rFonts w:ascii="Arial" w:eastAsia="Times New Roman" w:hAnsi="Arial" w:cs="Arial"/>
                <w:color w:val="000000"/>
                <w:szCs w:val="22"/>
                <w:lang w:eastAsia="en-GB"/>
              </w:rPr>
            </w:pPr>
          </w:p>
        </w:tc>
        <w:tc>
          <w:tcPr>
            <w:tcW w:w="1969" w:type="pct"/>
          </w:tcPr>
          <w:p w:rsidR="00D74EC1" w:rsidRPr="000E7D54" w:rsidRDefault="00B809F9" w:rsidP="00D74EC1">
            <w:pPr>
              <w:autoSpaceDE w:val="0"/>
              <w:autoSpaceDN w:val="0"/>
              <w:adjustRightInd w:val="0"/>
              <w:spacing w:after="0"/>
              <w:rPr>
                <w:rFonts w:ascii="Arial" w:hAnsi="Arial" w:cs="Arial"/>
                <w:szCs w:val="22"/>
                <w:lang w:eastAsia="en-GB"/>
              </w:rPr>
            </w:pPr>
            <w:r w:rsidRPr="000E7D54">
              <w:rPr>
                <w:rFonts w:ascii="Arial" w:hAnsi="Arial" w:cs="Arial"/>
                <w:szCs w:val="22"/>
                <w:lang w:eastAsia="en-GB"/>
              </w:rPr>
              <w:t>The senior audit investigator supports the council's participation in the National Fraud Initiative, supports managers where there are reasons to consider that there may be a risk of fraud, and in some cases directly investigates allegations of fraud or impropriety.</w:t>
            </w:r>
          </w:p>
          <w:p w:rsidR="00D74EC1" w:rsidRPr="0010496A" w:rsidRDefault="008C4481" w:rsidP="00D74EC1">
            <w:pPr>
              <w:spacing w:after="0"/>
              <w:rPr>
                <w:rFonts w:ascii="Arial" w:hAnsi="Arial" w:cs="Arial"/>
                <w:color w:val="000000"/>
                <w:szCs w:val="22"/>
                <w:highlight w:val="yellow"/>
                <w:lang w:eastAsia="en-GB"/>
              </w:rPr>
            </w:pPr>
          </w:p>
        </w:tc>
        <w:tc>
          <w:tcPr>
            <w:tcW w:w="1969" w:type="pct"/>
          </w:tcPr>
          <w:p w:rsidR="00D74EC1" w:rsidRPr="003D4279" w:rsidRDefault="00B809F9" w:rsidP="00D74EC1">
            <w:pPr>
              <w:spacing w:after="0"/>
              <w:rPr>
                <w:rFonts w:ascii="Arial" w:eastAsia="Times New Roman" w:hAnsi="Arial" w:cs="Arial"/>
                <w:color w:val="000000"/>
                <w:szCs w:val="22"/>
                <w:highlight w:val="magenta"/>
                <w:lang w:eastAsia="en-GB"/>
              </w:rPr>
            </w:pPr>
            <w:r w:rsidRPr="004C64C7">
              <w:rPr>
                <w:rFonts w:ascii="Arial" w:hAnsi="Arial" w:cs="Arial"/>
                <w:szCs w:val="22"/>
                <w:lang w:eastAsia="en-GB"/>
              </w:rPr>
              <w:t>The senior audit investigator supports the council's participation in the National Fraud Initiative, which incorporates data relating to the Pension Fund.</w:t>
            </w:r>
          </w:p>
        </w:tc>
      </w:tr>
      <w:tr w:rsidR="00E85B06" w:rsidTr="003C457D">
        <w:trPr>
          <w:trHeight w:val="600"/>
        </w:trPr>
        <w:tc>
          <w:tcPr>
            <w:tcW w:w="1062" w:type="pct"/>
          </w:tcPr>
          <w:p w:rsidR="00572555" w:rsidRPr="00585400" w:rsidRDefault="00B809F9" w:rsidP="00572555">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What has been the outcome of these arrangements so far this year? </w:t>
            </w:r>
          </w:p>
          <w:p w:rsidR="00572555" w:rsidRPr="00585400" w:rsidRDefault="008C4481" w:rsidP="00572555">
            <w:pPr>
              <w:autoSpaceDE w:val="0"/>
              <w:autoSpaceDN w:val="0"/>
              <w:adjustRightInd w:val="0"/>
              <w:spacing w:after="0"/>
              <w:rPr>
                <w:rFonts w:ascii="Arial" w:eastAsia="Times New Roman" w:hAnsi="Arial" w:cs="Arial"/>
                <w:color w:val="000000"/>
                <w:szCs w:val="22"/>
                <w:lang w:eastAsia="en-GB"/>
              </w:rPr>
            </w:pPr>
          </w:p>
          <w:p w:rsidR="00572555" w:rsidRPr="00585400" w:rsidRDefault="008C4481" w:rsidP="00572555">
            <w:pPr>
              <w:autoSpaceDE w:val="0"/>
              <w:autoSpaceDN w:val="0"/>
              <w:adjustRightInd w:val="0"/>
              <w:spacing w:after="0"/>
              <w:rPr>
                <w:rFonts w:ascii="Arial" w:eastAsia="Times New Roman" w:hAnsi="Arial" w:cs="Arial"/>
                <w:color w:val="000000"/>
                <w:szCs w:val="22"/>
                <w:lang w:eastAsia="en-GB"/>
              </w:rPr>
            </w:pPr>
          </w:p>
          <w:p w:rsidR="00572555" w:rsidRPr="00585400" w:rsidRDefault="008C4481" w:rsidP="00572555">
            <w:pPr>
              <w:autoSpaceDE w:val="0"/>
              <w:autoSpaceDN w:val="0"/>
              <w:adjustRightInd w:val="0"/>
              <w:spacing w:after="0"/>
              <w:rPr>
                <w:rFonts w:ascii="Arial" w:eastAsia="Times New Roman" w:hAnsi="Arial" w:cs="Arial"/>
                <w:color w:val="000000"/>
                <w:szCs w:val="22"/>
                <w:lang w:eastAsia="en-GB"/>
              </w:rPr>
            </w:pPr>
          </w:p>
        </w:tc>
        <w:tc>
          <w:tcPr>
            <w:tcW w:w="1969" w:type="pct"/>
          </w:tcPr>
          <w:p w:rsidR="00572555" w:rsidRPr="0010496A" w:rsidRDefault="00B809F9" w:rsidP="00816384">
            <w:pPr>
              <w:spacing w:after="0"/>
              <w:rPr>
                <w:rFonts w:ascii="Arial" w:hAnsi="Arial" w:cs="Arial"/>
                <w:color w:val="000000"/>
                <w:szCs w:val="22"/>
                <w:highlight w:val="yellow"/>
                <w:lang w:eastAsia="en-GB"/>
              </w:rPr>
            </w:pPr>
            <w:r w:rsidRPr="000E7D54">
              <w:rPr>
                <w:rFonts w:ascii="Arial" w:hAnsi="Arial" w:cs="Arial"/>
                <w:szCs w:val="22"/>
                <w:lang w:eastAsia="en-GB"/>
              </w:rPr>
              <w:t>No single issue is likely to have a material impact on the council, or would prompt a reassessment of the council's overall control environment.</w:t>
            </w:r>
          </w:p>
        </w:tc>
        <w:tc>
          <w:tcPr>
            <w:tcW w:w="1969" w:type="pct"/>
          </w:tcPr>
          <w:p w:rsidR="00572555" w:rsidRPr="00C64296" w:rsidRDefault="00B809F9" w:rsidP="00572555">
            <w:pPr>
              <w:spacing w:after="0"/>
              <w:rPr>
                <w:rFonts w:ascii="Arial" w:eastAsia="Times New Roman" w:hAnsi="Arial" w:cs="Arial"/>
                <w:szCs w:val="22"/>
                <w:lang w:eastAsia="en-GB"/>
              </w:rPr>
            </w:pPr>
            <w:r w:rsidRPr="00C64296">
              <w:rPr>
                <w:rFonts w:ascii="Arial" w:hAnsi="Arial" w:cs="Arial"/>
              </w:rPr>
              <w:t>The National Fraud Initiative (NFI) exercise is nearing completion with a small number of cases still under investigation.  To date the NFI exercise has identified overpayments totalling £55k which relate to 55 cases, mainly in respect of pensioners who are deceased but where pension payments continued.  Arrangements have been put in place to recover these overpayments.</w:t>
            </w:r>
          </w:p>
        </w:tc>
      </w:tr>
      <w:tr w:rsidR="00E85B06" w:rsidTr="003C457D">
        <w:trPr>
          <w:trHeight w:val="600"/>
        </w:trPr>
        <w:tc>
          <w:tcPr>
            <w:tcW w:w="1062" w:type="pct"/>
          </w:tcPr>
          <w:p w:rsidR="00572555" w:rsidRPr="00585400" w:rsidRDefault="00B809F9" w:rsidP="00572555">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What have you determined to be the classes of accounts, transactions and disclosures most at risk to fraud?</w:t>
            </w:r>
          </w:p>
          <w:p w:rsidR="00572555" w:rsidRPr="00585400" w:rsidRDefault="008C4481" w:rsidP="00572555">
            <w:pPr>
              <w:autoSpaceDE w:val="0"/>
              <w:autoSpaceDN w:val="0"/>
              <w:adjustRightInd w:val="0"/>
              <w:spacing w:after="0"/>
              <w:rPr>
                <w:rFonts w:ascii="Arial" w:eastAsia="Times New Roman" w:hAnsi="Arial" w:cs="Arial"/>
                <w:color w:val="000000"/>
                <w:szCs w:val="22"/>
                <w:lang w:eastAsia="en-GB"/>
              </w:rPr>
            </w:pPr>
          </w:p>
          <w:p w:rsidR="00572555" w:rsidRPr="00585400" w:rsidRDefault="008C4481" w:rsidP="00572555">
            <w:pPr>
              <w:autoSpaceDE w:val="0"/>
              <w:autoSpaceDN w:val="0"/>
              <w:adjustRightInd w:val="0"/>
              <w:spacing w:after="0"/>
              <w:rPr>
                <w:rFonts w:ascii="Arial" w:eastAsia="Times New Roman" w:hAnsi="Arial" w:cs="Arial"/>
                <w:color w:val="000000"/>
                <w:szCs w:val="22"/>
                <w:lang w:eastAsia="en-GB"/>
              </w:rPr>
            </w:pPr>
          </w:p>
        </w:tc>
        <w:tc>
          <w:tcPr>
            <w:tcW w:w="1969" w:type="pct"/>
          </w:tcPr>
          <w:p w:rsidR="00572555" w:rsidRPr="000E7D54" w:rsidRDefault="00B809F9" w:rsidP="00572555">
            <w:pPr>
              <w:autoSpaceDE w:val="0"/>
              <w:autoSpaceDN w:val="0"/>
              <w:adjustRightInd w:val="0"/>
              <w:spacing w:after="0"/>
              <w:rPr>
                <w:rFonts w:ascii="Arial" w:hAnsi="Arial" w:cs="Arial"/>
                <w:szCs w:val="22"/>
                <w:lang w:eastAsia="en-GB"/>
              </w:rPr>
            </w:pPr>
            <w:r w:rsidRPr="000E7D54">
              <w:rPr>
                <w:rFonts w:ascii="Arial" w:hAnsi="Arial" w:cs="Arial"/>
                <w:szCs w:val="22"/>
                <w:lang w:eastAsia="en-GB"/>
              </w:rPr>
              <w:t>Clearly all financial systems are susceptible to fraud. However the transactions that yield the greatest number of potential and actual frauds as well as some of the largest values, are direct payments to service users or their representatives.</w:t>
            </w:r>
          </w:p>
          <w:p w:rsidR="00572555" w:rsidRPr="0010496A" w:rsidRDefault="008C4481" w:rsidP="00572555">
            <w:pPr>
              <w:spacing w:after="0"/>
              <w:rPr>
                <w:rFonts w:ascii="Arial" w:hAnsi="Arial" w:cs="Arial"/>
                <w:color w:val="000000"/>
                <w:szCs w:val="22"/>
                <w:highlight w:val="yellow"/>
                <w:lang w:eastAsia="en-GB"/>
              </w:rPr>
            </w:pPr>
          </w:p>
        </w:tc>
        <w:tc>
          <w:tcPr>
            <w:tcW w:w="1969" w:type="pct"/>
          </w:tcPr>
          <w:p w:rsidR="00572555" w:rsidRPr="001F4FA7" w:rsidRDefault="00B809F9" w:rsidP="00572555">
            <w:pPr>
              <w:spacing w:after="0"/>
              <w:rPr>
                <w:rFonts w:ascii="Arial" w:eastAsia="Times New Roman" w:hAnsi="Arial" w:cs="Arial"/>
                <w:color w:val="000000"/>
                <w:szCs w:val="22"/>
                <w:lang w:eastAsia="en-GB"/>
              </w:rPr>
            </w:pPr>
            <w:r w:rsidRPr="001F4FA7">
              <w:rPr>
                <w:rFonts w:ascii="Arial" w:hAnsi="Arial" w:cs="Arial"/>
                <w:szCs w:val="22"/>
                <w:lang w:eastAsia="en-GB"/>
              </w:rPr>
              <w:t>The largest financial sums lie in the Fund's investments, but the greatest numbers of individual transactions are with the Fund's members: both areas could be susceptible to fraud.</w:t>
            </w:r>
          </w:p>
        </w:tc>
      </w:tr>
      <w:tr w:rsidR="00E85B06" w:rsidTr="003C457D">
        <w:trPr>
          <w:trHeight w:val="600"/>
        </w:trPr>
        <w:tc>
          <w:tcPr>
            <w:tcW w:w="1062" w:type="pct"/>
          </w:tcPr>
          <w:p w:rsidR="00572555" w:rsidRPr="00585400" w:rsidRDefault="00B809F9" w:rsidP="00572555">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lastRenderedPageBreak/>
              <w:t>Are you aware of any whistle blowing potential or complaints by potential whistle blowers? If so, what has been your response?</w:t>
            </w:r>
          </w:p>
          <w:p w:rsidR="00572555" w:rsidRPr="00585400" w:rsidRDefault="008C4481" w:rsidP="00572555">
            <w:pPr>
              <w:autoSpaceDE w:val="0"/>
              <w:autoSpaceDN w:val="0"/>
              <w:adjustRightInd w:val="0"/>
              <w:spacing w:after="0"/>
              <w:rPr>
                <w:rFonts w:ascii="Arial" w:eastAsia="Times New Roman" w:hAnsi="Arial" w:cs="Arial"/>
                <w:color w:val="000000"/>
                <w:szCs w:val="22"/>
                <w:lang w:eastAsia="en-GB"/>
              </w:rPr>
            </w:pPr>
          </w:p>
        </w:tc>
        <w:tc>
          <w:tcPr>
            <w:tcW w:w="1969" w:type="pct"/>
          </w:tcPr>
          <w:p w:rsidR="00572555" w:rsidRPr="0010496A" w:rsidRDefault="00B809F9" w:rsidP="00EC0414">
            <w:pPr>
              <w:spacing w:after="0"/>
              <w:rPr>
                <w:rFonts w:ascii="Arial" w:hAnsi="Arial" w:cs="Arial"/>
                <w:color w:val="000000"/>
                <w:szCs w:val="22"/>
                <w:highlight w:val="yellow"/>
                <w:lang w:eastAsia="en-GB"/>
              </w:rPr>
            </w:pPr>
            <w:r w:rsidRPr="000E7D54">
              <w:rPr>
                <w:rFonts w:ascii="Arial" w:hAnsi="Arial" w:cs="Arial"/>
                <w:szCs w:val="22"/>
                <w:lang w:eastAsia="en-GB"/>
              </w:rPr>
              <w:t>The council's whistleblowing helpline continues to receive referrals relating both to financial issues and to human resource concerns. All are considered and investigated either by the senior audit investigator or by the human resources service.</w:t>
            </w:r>
          </w:p>
        </w:tc>
        <w:tc>
          <w:tcPr>
            <w:tcW w:w="1969" w:type="pct"/>
          </w:tcPr>
          <w:p w:rsidR="00572555" w:rsidRPr="003D4279" w:rsidRDefault="00B809F9" w:rsidP="00572555">
            <w:pPr>
              <w:spacing w:after="0"/>
              <w:rPr>
                <w:rFonts w:ascii="Arial" w:eastAsia="Times New Roman" w:hAnsi="Arial" w:cs="Arial"/>
                <w:color w:val="000000"/>
                <w:szCs w:val="22"/>
                <w:highlight w:val="magenta"/>
                <w:lang w:eastAsia="en-GB"/>
              </w:rPr>
            </w:pPr>
            <w:r>
              <w:rPr>
                <w:rFonts w:ascii="Arial" w:hAnsi="Arial" w:cs="Arial"/>
                <w:szCs w:val="22"/>
                <w:lang w:eastAsia="en-GB"/>
              </w:rPr>
              <w:t>No.</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As a management team, how do you communicate risk issues (including fraud) to those charged with governance?</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The Internal Audit service provides a progress report to each meeting of the Audit, Risk and Governance Committee that highlights any unmitigated risks arising from the audit work undertaken. The committee has a record of interest in such matters and periodically invites directors to explain their responses to the risk issues raised and provide assurance regarding the action being taken.</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The risk management process is robust and all services update their risk and opportunity registers quarterly. During 2019/20 these service registers have been assessed by the Deputy Monitoring Officer, and a corporate risk and opportunity register prepared and presented to the Corporate Management Team. This corporate risk and opportunity register is then reported to both the 'Cabinet Committee for Performance Improvement' and 'Audit, Risk and Governance Committee' on a quarterly basis.</w:t>
            </w:r>
          </w:p>
          <w:p w:rsidR="004C64C7" w:rsidRPr="0010496A" w:rsidRDefault="008C4481" w:rsidP="004C64C7">
            <w:pPr>
              <w:spacing w:after="0"/>
              <w:rPr>
                <w:rFonts w:ascii="Arial" w:hAnsi="Arial" w:cs="Arial"/>
                <w:color w:val="000000"/>
                <w:szCs w:val="22"/>
                <w:highlight w:val="yellow"/>
                <w:lang w:eastAsia="en-GB"/>
              </w:rPr>
            </w:pPr>
          </w:p>
        </w:tc>
        <w:tc>
          <w:tcPr>
            <w:tcW w:w="1969" w:type="pct"/>
          </w:tcPr>
          <w:p w:rsidR="004C64C7" w:rsidRPr="001F4FA7" w:rsidRDefault="00B809F9" w:rsidP="004C64C7">
            <w:pPr>
              <w:spacing w:after="0"/>
              <w:rPr>
                <w:rFonts w:ascii="Arial" w:hAnsi="Arial" w:cs="Arial"/>
                <w:szCs w:val="23"/>
              </w:rPr>
            </w:pPr>
            <w:r w:rsidRPr="001F4FA7">
              <w:rPr>
                <w:rFonts w:ascii="Arial" w:hAnsi="Arial" w:cs="Arial"/>
                <w:szCs w:val="23"/>
              </w:rPr>
              <w:t xml:space="preserve">The Pension Fund maintains a risk register which includes consideration of fraud risk.  This register is reviewed and updated on a quarterly basis and any changes are presented to </w:t>
            </w:r>
            <w:r w:rsidR="0034799D">
              <w:rPr>
                <w:rFonts w:ascii="Arial" w:hAnsi="Arial" w:cs="Arial"/>
                <w:szCs w:val="23"/>
              </w:rPr>
              <w:t xml:space="preserve">the </w:t>
            </w:r>
            <w:r w:rsidRPr="001F4FA7">
              <w:rPr>
                <w:rFonts w:ascii="Arial" w:hAnsi="Arial" w:cs="Arial"/>
                <w:szCs w:val="23"/>
              </w:rPr>
              <w:t>Pension Fund committee and the Local Pensions Board on a six monthly basis.</w:t>
            </w:r>
          </w:p>
          <w:p w:rsidR="004C64C7" w:rsidRPr="001F4FA7" w:rsidRDefault="008C4481" w:rsidP="004C64C7">
            <w:pPr>
              <w:spacing w:after="0"/>
              <w:rPr>
                <w:rFonts w:ascii="Arial" w:hAnsi="Arial" w:cs="Arial"/>
                <w:szCs w:val="23"/>
              </w:rPr>
            </w:pPr>
          </w:p>
          <w:p w:rsidR="004C64C7" w:rsidRPr="001F4FA7" w:rsidRDefault="00B809F9" w:rsidP="004C64C7">
            <w:pPr>
              <w:spacing w:after="0"/>
              <w:rPr>
                <w:rFonts w:ascii="Arial" w:hAnsi="Arial" w:cs="Arial"/>
                <w:szCs w:val="23"/>
              </w:rPr>
            </w:pPr>
            <w:r w:rsidRPr="001F4FA7">
              <w:rPr>
                <w:rFonts w:ascii="Arial" w:hAnsi="Arial" w:cs="Arial"/>
                <w:szCs w:val="23"/>
              </w:rPr>
              <w:t>All reports considered by the Pension Fund Committee identify the key risks involved in any proposed decision and the nature of mitigation, together with any legal or other issues that might arise.</w:t>
            </w:r>
          </w:p>
          <w:p w:rsidR="004C64C7" w:rsidRPr="001F4FA7" w:rsidRDefault="008C4481" w:rsidP="004C64C7">
            <w:pPr>
              <w:spacing w:after="0"/>
              <w:rPr>
                <w:rFonts w:ascii="Arial" w:hAnsi="Arial" w:cs="Arial"/>
                <w:szCs w:val="23"/>
              </w:rPr>
            </w:pPr>
          </w:p>
          <w:p w:rsidR="004C64C7" w:rsidRPr="001F4FA7" w:rsidRDefault="00B809F9" w:rsidP="004C64C7">
            <w:pPr>
              <w:spacing w:after="0"/>
              <w:rPr>
                <w:rFonts w:ascii="Arial" w:hAnsi="Arial" w:cs="Arial"/>
                <w:szCs w:val="23"/>
              </w:rPr>
            </w:pPr>
            <w:r w:rsidRPr="001F4FA7">
              <w:rPr>
                <w:rFonts w:ascii="Arial" w:hAnsi="Arial" w:cs="Arial"/>
                <w:szCs w:val="23"/>
              </w:rPr>
              <w:t>The Pension Fund Committee reports directly to Full Council reporting any breaches or risks.</w:t>
            </w:r>
          </w:p>
          <w:p w:rsidR="004C64C7" w:rsidRPr="001F4FA7" w:rsidRDefault="008C4481" w:rsidP="004C64C7">
            <w:pPr>
              <w:spacing w:after="0"/>
              <w:rPr>
                <w:rFonts w:ascii="Arial" w:hAnsi="Arial" w:cs="Arial"/>
                <w:szCs w:val="23"/>
              </w:rPr>
            </w:pPr>
          </w:p>
          <w:p w:rsidR="004C64C7" w:rsidRPr="004C64C7" w:rsidRDefault="00B809F9" w:rsidP="00C2126E">
            <w:pPr>
              <w:spacing w:after="0"/>
              <w:rPr>
                <w:rFonts w:ascii="Arial" w:eastAsia="Times New Roman" w:hAnsi="Arial" w:cs="Arial"/>
                <w:color w:val="000000"/>
                <w:szCs w:val="22"/>
                <w:highlight w:val="magenta"/>
                <w:lang w:eastAsia="en-GB"/>
              </w:rPr>
            </w:pPr>
            <w:r w:rsidRPr="001F4FA7">
              <w:rPr>
                <w:rFonts w:ascii="Arial" w:hAnsi="Arial" w:cs="Arial"/>
                <w:szCs w:val="23"/>
              </w:rPr>
              <w:t xml:space="preserve">The Local Pensions Board has </w:t>
            </w:r>
            <w:r>
              <w:rPr>
                <w:rFonts w:ascii="Arial" w:hAnsi="Arial" w:cs="Arial"/>
                <w:szCs w:val="23"/>
              </w:rPr>
              <w:t xml:space="preserve">a </w:t>
            </w:r>
            <w:r w:rsidRPr="001F4FA7">
              <w:rPr>
                <w:rFonts w:ascii="Arial" w:hAnsi="Arial" w:cs="Arial"/>
                <w:szCs w:val="23"/>
              </w:rPr>
              <w:t>remit to report directly to Full Council</w:t>
            </w:r>
            <w:r>
              <w:rPr>
                <w:rFonts w:ascii="Arial" w:hAnsi="Arial" w:cs="Arial"/>
                <w:szCs w:val="23"/>
              </w:rPr>
              <w:t xml:space="preserve"> and also directly to the Pensions Regulator in respect of Code of Practice breaches. </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As a management team, how do you communicate to staff and employees your views on business practices and ethical behaviour?</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There are several mechanisms that include:</w:t>
            </w:r>
          </w:p>
          <w:p w:rsidR="0034799D" w:rsidRPr="000E7D54" w:rsidRDefault="0034799D"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Induction</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Intranet pages</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Staff notices</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Cascade briefings</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Performance Development Reviews</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Bite sized briefings</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Specific training</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Staff conferences</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Blogs</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Videos</w:t>
            </w:r>
          </w:p>
          <w:p w:rsidR="004C64C7" w:rsidRPr="0010496A" w:rsidRDefault="008C4481" w:rsidP="004C64C7">
            <w:pPr>
              <w:spacing w:after="0"/>
              <w:rPr>
                <w:rFonts w:ascii="Arial" w:hAnsi="Arial" w:cs="Arial"/>
                <w:color w:val="000000"/>
                <w:szCs w:val="22"/>
                <w:highlight w:val="yellow"/>
                <w:lang w:eastAsia="en-GB"/>
              </w:rPr>
            </w:pPr>
          </w:p>
        </w:tc>
        <w:tc>
          <w:tcPr>
            <w:tcW w:w="1969" w:type="pct"/>
          </w:tcPr>
          <w:p w:rsidR="0003021B" w:rsidRPr="0003021B" w:rsidRDefault="00B809F9" w:rsidP="0003021B">
            <w:pPr>
              <w:rPr>
                <w:rFonts w:ascii="Arial" w:hAnsi="Arial" w:cs="Arial"/>
                <w:szCs w:val="23"/>
              </w:rPr>
            </w:pPr>
            <w:r w:rsidRPr="0003021B">
              <w:rPr>
                <w:rFonts w:ascii="Arial" w:hAnsi="Arial" w:cs="Arial"/>
                <w:szCs w:val="23"/>
              </w:rPr>
              <w:t xml:space="preserve">Staff employed within the Lancashire County Pension Fund (LCPF) team are employees of Lancashire County Council and must comply with the council's Code of Conduct for employees.  Officers who are members of professional accounting bodies are also covered by professional conduct requirements.  </w:t>
            </w:r>
          </w:p>
          <w:p w:rsidR="0003021B" w:rsidRPr="0003021B" w:rsidRDefault="00B809F9" w:rsidP="0003021B">
            <w:pPr>
              <w:rPr>
                <w:rFonts w:ascii="Arial" w:hAnsi="Arial" w:cs="Arial"/>
                <w:szCs w:val="23"/>
              </w:rPr>
            </w:pPr>
            <w:r w:rsidRPr="0003021B">
              <w:rPr>
                <w:rFonts w:ascii="Arial" w:hAnsi="Arial" w:cs="Arial"/>
                <w:szCs w:val="23"/>
              </w:rPr>
              <w:t>The 'seven principles of public life', requiring the highest standards of conduct apply to the Board, officers of and advisors to the Fund.</w:t>
            </w:r>
          </w:p>
          <w:p w:rsidR="004C64C7" w:rsidRPr="003D4279" w:rsidRDefault="00B809F9" w:rsidP="0003021B">
            <w:pPr>
              <w:spacing w:after="0"/>
              <w:rPr>
                <w:rFonts w:ascii="Arial" w:eastAsia="Times New Roman" w:hAnsi="Arial" w:cs="Arial"/>
                <w:color w:val="000000"/>
                <w:szCs w:val="22"/>
                <w:highlight w:val="magenta"/>
                <w:lang w:eastAsia="en-GB"/>
              </w:rPr>
            </w:pPr>
            <w:r w:rsidRPr="0003021B">
              <w:rPr>
                <w:rFonts w:ascii="Arial" w:hAnsi="Arial" w:cs="Arial"/>
                <w:szCs w:val="23"/>
              </w:rPr>
              <w:t>Advisors to the Fund such as actuaries, legal and accounting firms are also covered by their own industry specific ethical standards and professional conduct requirements</w:t>
            </w:r>
            <w:r w:rsidRPr="007C354A">
              <w:rPr>
                <w:rFonts w:cstheme="minorHAnsi"/>
                <w:szCs w:val="23"/>
              </w:rPr>
              <w:t>.</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lastRenderedPageBreak/>
              <w:t>What are your policies and procedures for identifying, assessing and accounting for litigation and claims?</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The county council identifies litigation and claims from several sources that include service managers, external bodies serving notice and individuals submitting claims through established claims procedures. The litigation team within the council's legal services deals with on-going claims and litigation on issues such as highways, child protection and employment issues. The council maintains extensive records relating to both historic and current cases.</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The council generally self-insures for claims up to £1m, above which insurance is procured. A provision is held on the council's balance sheet to cover the accruing liabilities as valued by an external actuarial review.</w:t>
            </w:r>
          </w:p>
          <w:p w:rsidR="004C64C7" w:rsidRPr="0010496A" w:rsidRDefault="008C4481" w:rsidP="004C64C7">
            <w:pPr>
              <w:spacing w:after="0"/>
              <w:rPr>
                <w:rFonts w:ascii="Arial" w:hAnsi="Arial" w:cs="Arial"/>
                <w:color w:val="000000"/>
                <w:szCs w:val="22"/>
                <w:highlight w:val="yellow"/>
                <w:lang w:eastAsia="en-GB"/>
              </w:rPr>
            </w:pPr>
          </w:p>
        </w:tc>
        <w:tc>
          <w:tcPr>
            <w:tcW w:w="1969" w:type="pct"/>
          </w:tcPr>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The county council's legal procedures apply to LCPF.</w:t>
            </w:r>
          </w:p>
          <w:p w:rsidR="004C64C7" w:rsidRPr="0003021B" w:rsidRDefault="008C4481" w:rsidP="004C64C7">
            <w:pPr>
              <w:spacing w:after="0"/>
              <w:rPr>
                <w:rFonts w:ascii="Arial" w:eastAsia="Times New Roman" w:hAnsi="Arial" w:cs="Arial"/>
                <w:color w:val="000000"/>
                <w:szCs w:val="22"/>
                <w:lang w:eastAsia="en-GB"/>
              </w:rPr>
            </w:pPr>
          </w:p>
          <w:p w:rsidR="004C64C7" w:rsidRPr="0003021B" w:rsidRDefault="008C4481" w:rsidP="004C64C7">
            <w:pPr>
              <w:spacing w:after="0"/>
              <w:rPr>
                <w:rFonts w:ascii="Arial" w:eastAsia="Times New Roman" w:hAnsi="Arial" w:cs="Arial"/>
                <w:color w:val="000000"/>
                <w:szCs w:val="22"/>
                <w:lang w:eastAsia="en-GB"/>
              </w:rPr>
            </w:pP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Is there any use of financial instruments, including derivatives? </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Yes, the financial instruments recognised in the comprehensive income and expenditure statement are detailed in a note to the statement of accounts.</w:t>
            </w:r>
            <w:r w:rsidR="0034799D">
              <w:rPr>
                <w:rFonts w:ascii="Arial" w:hAnsi="Arial" w:cs="Arial"/>
                <w:color w:val="000000"/>
                <w:szCs w:val="22"/>
                <w:lang w:eastAsia="en-GB"/>
              </w:rPr>
              <w:t xml:space="preserve"> </w:t>
            </w:r>
            <w:r w:rsidRPr="000E7D54">
              <w:rPr>
                <w:rFonts w:ascii="Arial" w:hAnsi="Arial" w:cs="Arial"/>
                <w:color w:val="000000"/>
                <w:szCs w:val="22"/>
                <w:lang w:eastAsia="en-GB"/>
              </w:rPr>
              <w:t>These include:</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Financial assets and liabilities at amortised cost</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xml:space="preserve">- Other financial assets measured at fair value </w:t>
            </w:r>
          </w:p>
          <w:p w:rsidR="004C64C7" w:rsidRPr="0010496A" w:rsidRDefault="008C4481" w:rsidP="004C64C7">
            <w:pPr>
              <w:spacing w:after="0"/>
              <w:rPr>
                <w:rFonts w:ascii="Arial" w:hAnsi="Arial" w:cs="Arial"/>
                <w:color w:val="000000"/>
                <w:szCs w:val="22"/>
                <w:highlight w:val="yellow"/>
                <w:lang w:eastAsia="en-GB"/>
              </w:rPr>
            </w:pPr>
          </w:p>
        </w:tc>
        <w:tc>
          <w:tcPr>
            <w:tcW w:w="1969" w:type="pct"/>
          </w:tcPr>
          <w:p w:rsidR="004C64C7" w:rsidRPr="003D4279" w:rsidRDefault="00B809F9" w:rsidP="004C64C7">
            <w:pPr>
              <w:spacing w:after="0"/>
              <w:rPr>
                <w:rFonts w:ascii="Arial" w:eastAsia="Times New Roman" w:hAnsi="Arial" w:cs="Arial"/>
                <w:color w:val="000000"/>
                <w:szCs w:val="22"/>
                <w:highlight w:val="magenta"/>
                <w:lang w:eastAsia="en-GB"/>
              </w:rPr>
            </w:pPr>
            <w:r w:rsidRPr="001F4FA7">
              <w:rPr>
                <w:rFonts w:ascii="Arial" w:eastAsia="Times New Roman" w:hAnsi="Arial" w:cs="Arial"/>
                <w:color w:val="000000"/>
                <w:szCs w:val="22"/>
                <w:lang w:eastAsia="en-GB"/>
              </w:rPr>
              <w:t>Yes.  The investments of the Fund.</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What is the current position of those issues included in the 2018/19 accounts as contingencies and provisions at 31 March 2019?</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Provisions are set aside to provide for specific expenses for which the exact cost and timing are still uncertain. At 31 March 2018, these comprised:</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Insurance provision</w:t>
            </w: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 Business Rates appeals</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Insurance provision - Funds are set aside to cover liability claims in respect of employer's liability, public liability or buildings insurance which are below our insurance excess and our self-insured limits. A provision will continue to be made at March 2019 to cover ongoing liabilities.</w:t>
            </w:r>
          </w:p>
          <w:p w:rsidR="004C64C7" w:rsidRPr="000E7D54" w:rsidRDefault="008C4481" w:rsidP="004C64C7">
            <w:pPr>
              <w:spacing w:after="0"/>
              <w:rPr>
                <w:rFonts w:ascii="Arial" w:hAnsi="Arial" w:cs="Arial"/>
                <w:color w:val="000000"/>
                <w:szCs w:val="22"/>
                <w:lang w:eastAsia="en-GB"/>
              </w:rPr>
            </w:pPr>
          </w:p>
          <w:p w:rsidR="004C64C7" w:rsidRPr="002F18A8" w:rsidRDefault="00B809F9" w:rsidP="008C4481">
            <w:pPr>
              <w:spacing w:after="0"/>
              <w:rPr>
                <w:rFonts w:ascii="Arial" w:hAnsi="Arial" w:cs="Arial"/>
                <w:color w:val="000000"/>
                <w:szCs w:val="22"/>
                <w:highlight w:val="green"/>
                <w:lang w:eastAsia="en-GB"/>
              </w:rPr>
            </w:pPr>
            <w:r w:rsidRPr="000E7D54">
              <w:rPr>
                <w:rFonts w:ascii="Arial" w:hAnsi="Arial" w:cs="Arial"/>
                <w:color w:val="000000"/>
                <w:szCs w:val="22"/>
                <w:lang w:eastAsia="en-GB"/>
              </w:rPr>
              <w:t>Business rates appeals - This provision accounts for the share of the business rates appeals impact estimated by the 12 Lancashire districts. A provision will continue to be made at March 2019 for the revised impact estimate.</w:t>
            </w:r>
          </w:p>
        </w:tc>
        <w:tc>
          <w:tcPr>
            <w:tcW w:w="1969" w:type="pct"/>
          </w:tcPr>
          <w:p w:rsidR="004C64C7" w:rsidRPr="003D4279" w:rsidRDefault="00B809F9" w:rsidP="0003021B">
            <w:pPr>
              <w:spacing w:after="0"/>
              <w:rPr>
                <w:rFonts w:ascii="Arial" w:eastAsia="Times New Roman" w:hAnsi="Arial" w:cs="Arial"/>
                <w:color w:val="000000"/>
                <w:szCs w:val="22"/>
                <w:highlight w:val="magenta"/>
                <w:lang w:eastAsia="en-GB"/>
              </w:rPr>
            </w:pPr>
            <w:r w:rsidRPr="0003021B">
              <w:rPr>
                <w:rFonts w:ascii="Arial" w:eastAsia="Times New Roman" w:hAnsi="Arial" w:cs="Arial"/>
                <w:color w:val="000000"/>
                <w:szCs w:val="22"/>
                <w:lang w:eastAsia="en-GB"/>
              </w:rPr>
              <w:t>No provisions or contingencies were included in the accounts of the Fund for 2018/19.</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lastRenderedPageBreak/>
              <w:t>Are you aware of any significant transaction outside the normal course of business?</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10496A" w:rsidRDefault="00B809F9" w:rsidP="004C64C7">
            <w:pPr>
              <w:spacing w:after="0"/>
              <w:rPr>
                <w:rFonts w:ascii="Arial" w:hAnsi="Arial" w:cs="Arial"/>
                <w:color w:val="000000"/>
                <w:szCs w:val="22"/>
                <w:highlight w:val="yellow"/>
                <w:lang w:eastAsia="en-GB"/>
              </w:rPr>
            </w:pPr>
            <w:r w:rsidRPr="000E7D54">
              <w:rPr>
                <w:rFonts w:ascii="Arial" w:hAnsi="Arial" w:cs="Arial"/>
                <w:color w:val="000000"/>
                <w:szCs w:val="22"/>
                <w:lang w:eastAsia="en-GB"/>
              </w:rPr>
              <w:t>No.</w:t>
            </w:r>
          </w:p>
        </w:tc>
        <w:tc>
          <w:tcPr>
            <w:tcW w:w="1969" w:type="pct"/>
          </w:tcPr>
          <w:p w:rsidR="004C64C7" w:rsidRPr="001F4FA7" w:rsidRDefault="00B809F9" w:rsidP="004C64C7">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No.</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Are you aware of any changes in circumstances that would lead to impairment of non-current assets? </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10496A" w:rsidRDefault="00B809F9" w:rsidP="004C64C7">
            <w:pPr>
              <w:spacing w:after="0"/>
              <w:rPr>
                <w:rFonts w:ascii="Arial" w:hAnsi="Arial" w:cs="Arial"/>
                <w:color w:val="000000"/>
                <w:szCs w:val="22"/>
                <w:highlight w:val="yellow"/>
                <w:lang w:eastAsia="en-GB"/>
              </w:rPr>
            </w:pPr>
            <w:r w:rsidRPr="000E7D54">
              <w:rPr>
                <w:rFonts w:ascii="Arial" w:hAnsi="Arial" w:cs="Arial"/>
                <w:color w:val="000000"/>
                <w:szCs w:val="22"/>
                <w:lang w:eastAsia="en-GB"/>
              </w:rPr>
              <w:t>No.</w:t>
            </w:r>
          </w:p>
        </w:tc>
        <w:tc>
          <w:tcPr>
            <w:tcW w:w="1969" w:type="pct"/>
          </w:tcPr>
          <w:p w:rsidR="004C64C7" w:rsidRPr="001F4FA7" w:rsidRDefault="00B809F9" w:rsidP="004C64C7">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No.</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Are you aware of any guarantee contracts? </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10496A" w:rsidRDefault="00B809F9" w:rsidP="004C64C7">
            <w:pPr>
              <w:spacing w:after="0"/>
              <w:rPr>
                <w:rFonts w:ascii="Arial" w:hAnsi="Arial" w:cs="Arial"/>
                <w:color w:val="000000"/>
                <w:szCs w:val="22"/>
                <w:highlight w:val="yellow"/>
                <w:lang w:eastAsia="en-GB"/>
              </w:rPr>
            </w:pPr>
            <w:r w:rsidRPr="000E7D54">
              <w:rPr>
                <w:rFonts w:ascii="Arial" w:hAnsi="Arial" w:cs="Arial"/>
                <w:color w:val="000000"/>
                <w:szCs w:val="22"/>
                <w:lang w:eastAsia="en-GB"/>
              </w:rPr>
              <w:t>The council provides a pension indemnity to its wholly owned companies: Active Lancashire and Marketing Lancashire.</w:t>
            </w:r>
          </w:p>
        </w:tc>
        <w:tc>
          <w:tcPr>
            <w:tcW w:w="1969" w:type="pct"/>
          </w:tcPr>
          <w:p w:rsidR="004C64C7" w:rsidRPr="003D4279" w:rsidRDefault="00B809F9" w:rsidP="004C64C7">
            <w:pPr>
              <w:spacing w:after="0"/>
              <w:rPr>
                <w:rFonts w:ascii="Arial" w:eastAsia="Times New Roman" w:hAnsi="Arial" w:cs="Arial"/>
                <w:color w:val="000000"/>
                <w:szCs w:val="22"/>
                <w:highlight w:val="magenta"/>
                <w:lang w:eastAsia="en-GB"/>
              </w:rPr>
            </w:pPr>
            <w:r w:rsidRPr="001F4FA7">
              <w:rPr>
                <w:rFonts w:ascii="Arial" w:eastAsia="Times New Roman" w:hAnsi="Arial" w:cs="Arial"/>
                <w:color w:val="000000"/>
                <w:szCs w:val="22"/>
                <w:lang w:eastAsia="en-GB"/>
              </w:rPr>
              <w:t>There are no guarantee contracts.</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Are you aware of allegations of fraud, errors, or other irregularities during the period?</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autoSpaceDE w:val="0"/>
              <w:autoSpaceDN w:val="0"/>
              <w:adjustRightInd w:val="0"/>
              <w:spacing w:after="0"/>
              <w:rPr>
                <w:rFonts w:ascii="Arial" w:eastAsia="Times New Roman" w:hAnsi="Arial" w:cs="Arial"/>
                <w:color w:val="000000"/>
                <w:szCs w:val="22"/>
                <w:lang w:eastAsia="en-GB"/>
              </w:rPr>
            </w:pPr>
            <w:r w:rsidRPr="000E7D54">
              <w:rPr>
                <w:rFonts w:ascii="Arial" w:hAnsi="Arial" w:cs="Arial"/>
                <w:szCs w:val="22"/>
                <w:lang w:eastAsia="en-GB"/>
              </w:rPr>
              <w:t xml:space="preserve">At this point there have been no significant instances of </w:t>
            </w:r>
            <w:r w:rsidRPr="000E7D54">
              <w:rPr>
                <w:rFonts w:ascii="Arial" w:eastAsia="Times New Roman" w:hAnsi="Arial" w:cs="Arial"/>
                <w:color w:val="000000"/>
                <w:szCs w:val="22"/>
                <w:lang w:eastAsia="en-GB"/>
              </w:rPr>
              <w:t xml:space="preserve">fraud, error, or other irregularity during the period either singly or collectively. </w:t>
            </w:r>
          </w:p>
          <w:p w:rsidR="004C64C7" w:rsidRPr="000E7D54"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0E7D54" w:rsidRDefault="00B809F9" w:rsidP="004C64C7">
            <w:pPr>
              <w:autoSpaceDE w:val="0"/>
              <w:autoSpaceDN w:val="0"/>
              <w:adjustRightInd w:val="0"/>
              <w:spacing w:after="0"/>
              <w:rPr>
                <w:rFonts w:ascii="Arial" w:hAnsi="Arial" w:cs="Arial"/>
                <w:szCs w:val="22"/>
                <w:lang w:eastAsia="en-GB"/>
              </w:rPr>
            </w:pPr>
            <w:r w:rsidRPr="000E7D54">
              <w:rPr>
                <w:rFonts w:ascii="Arial" w:hAnsi="Arial" w:cs="Arial"/>
                <w:szCs w:val="22"/>
                <w:lang w:eastAsia="en-GB"/>
              </w:rPr>
              <w:t>A report will be prepared for the Audit, Risk and Governance Committee to consider at its meeting on 27 July 2020 that will provide information on each case and the work undertaken in response.</w:t>
            </w:r>
          </w:p>
          <w:p w:rsidR="004C64C7" w:rsidRPr="0010496A" w:rsidRDefault="008C4481" w:rsidP="004C64C7">
            <w:pPr>
              <w:spacing w:after="0"/>
              <w:rPr>
                <w:rFonts w:ascii="Arial" w:hAnsi="Arial" w:cs="Arial"/>
                <w:color w:val="000000"/>
                <w:szCs w:val="22"/>
                <w:highlight w:val="yellow"/>
                <w:lang w:eastAsia="en-GB"/>
              </w:rPr>
            </w:pPr>
          </w:p>
        </w:tc>
        <w:tc>
          <w:tcPr>
            <w:tcW w:w="1969" w:type="pct"/>
          </w:tcPr>
          <w:p w:rsidR="004C64C7" w:rsidRPr="001F4FA7" w:rsidRDefault="00B809F9" w:rsidP="004C64C7">
            <w:pPr>
              <w:spacing w:after="0"/>
              <w:rPr>
                <w:rFonts w:ascii="Arial" w:eastAsia="Times New Roman" w:hAnsi="Arial" w:cs="Arial"/>
                <w:color w:val="000000"/>
                <w:szCs w:val="22"/>
                <w:lang w:eastAsia="en-GB"/>
              </w:rPr>
            </w:pPr>
            <w:r w:rsidRPr="001F4FA7">
              <w:rPr>
                <w:rFonts w:ascii="Arial" w:hAnsi="Arial" w:cs="Arial"/>
                <w:color w:val="000000"/>
                <w:szCs w:val="22"/>
                <w:lang w:eastAsia="en-GB"/>
              </w:rPr>
              <w:t>No.</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Are you aware of any instances of non-compliance with laws or regulations or is the </w:t>
            </w:r>
            <w:r>
              <w:rPr>
                <w:rFonts w:ascii="Arial" w:eastAsia="Times New Roman" w:hAnsi="Arial" w:cs="Arial"/>
                <w:color w:val="000000"/>
                <w:szCs w:val="22"/>
                <w:lang w:eastAsia="en-GB"/>
              </w:rPr>
              <w:t>a</w:t>
            </w:r>
            <w:r w:rsidRPr="00585400">
              <w:rPr>
                <w:rFonts w:ascii="Arial" w:eastAsia="Times New Roman" w:hAnsi="Arial" w:cs="Arial"/>
                <w:color w:val="000000"/>
                <w:szCs w:val="22"/>
                <w:lang w:eastAsia="en-GB"/>
              </w:rPr>
              <w:t>uthority on notice of any such possible instances of non-compliance?</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A number of data breaches were reported to the Information Commissioner's Office. However, in an organisation of Lancashire County Council's size, a proportionate approach must be taken to an assessment of risk and to the assurance required over the controls implemented to manage it.</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It is impractical to expect that either a committee of elected members or the Internal Audit service, having adopted a risk-based approach, will be able to oversee and assess all management processes. Nor can absolute assurance be gained that compliance with all applicable laws and regulations is achieved. However, each year Directors complete an assurance statement confirming compliance.</w:t>
            </w:r>
          </w:p>
          <w:p w:rsidR="004C64C7" w:rsidRPr="002F18A8" w:rsidRDefault="008C4481" w:rsidP="004C64C7">
            <w:pPr>
              <w:spacing w:after="0"/>
              <w:rPr>
                <w:rFonts w:ascii="Arial" w:hAnsi="Arial" w:cs="Arial"/>
                <w:color w:val="000000"/>
                <w:szCs w:val="22"/>
                <w:highlight w:val="cyan"/>
                <w:lang w:eastAsia="en-GB"/>
              </w:rPr>
            </w:pPr>
          </w:p>
        </w:tc>
        <w:tc>
          <w:tcPr>
            <w:tcW w:w="1969" w:type="pct"/>
          </w:tcPr>
          <w:p w:rsidR="004C64C7" w:rsidRPr="003D4279" w:rsidRDefault="00B809F9" w:rsidP="004C64C7">
            <w:pPr>
              <w:spacing w:after="0"/>
              <w:rPr>
                <w:rFonts w:ascii="Arial" w:eastAsia="Times New Roman" w:hAnsi="Arial" w:cs="Arial"/>
                <w:color w:val="000000"/>
                <w:szCs w:val="22"/>
                <w:highlight w:val="magenta"/>
                <w:lang w:eastAsia="en-GB"/>
              </w:rPr>
            </w:pPr>
            <w:r w:rsidRPr="001F4FA7">
              <w:rPr>
                <w:rFonts w:ascii="Arial" w:eastAsia="Times New Roman" w:hAnsi="Arial" w:cs="Arial"/>
                <w:color w:val="000000"/>
                <w:szCs w:val="22"/>
                <w:lang w:eastAsia="en-GB"/>
              </w:rPr>
              <w:t>No.</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lastRenderedPageBreak/>
              <w:t>Have there been any examinations, investigations or inquiries by any licensing or authorising bodies or the tax and customs authorities?</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214810" w:rsidRPr="00C64296" w:rsidRDefault="00B809F9" w:rsidP="00214810">
            <w:pPr>
              <w:spacing w:after="0"/>
              <w:rPr>
                <w:rFonts w:ascii="Arial" w:hAnsi="Arial" w:cs="Arial"/>
                <w:szCs w:val="22"/>
                <w:lang w:eastAsia="en-GB"/>
              </w:rPr>
            </w:pPr>
            <w:r w:rsidRPr="00C64296">
              <w:rPr>
                <w:rFonts w:ascii="Arial" w:hAnsi="Arial" w:cs="Arial"/>
                <w:szCs w:val="22"/>
                <w:lang w:eastAsia="en-GB"/>
              </w:rPr>
              <w:t>No examinations, investigations or inquiries by any licensing or authorising bodies are known to the Finance, Legal and Internal Audit service or Trading Standards and Scientific Services.</w:t>
            </w:r>
          </w:p>
          <w:p w:rsidR="00214810" w:rsidRPr="00C64296" w:rsidRDefault="008C4481" w:rsidP="00214810">
            <w:pPr>
              <w:spacing w:after="0"/>
              <w:rPr>
                <w:rFonts w:ascii="Arial" w:hAnsi="Arial" w:cs="Arial"/>
                <w:szCs w:val="22"/>
                <w:lang w:eastAsia="en-GB"/>
              </w:rPr>
            </w:pPr>
          </w:p>
          <w:p w:rsidR="004C64C7" w:rsidRDefault="00B809F9" w:rsidP="004C64C7">
            <w:pPr>
              <w:spacing w:after="0"/>
              <w:rPr>
                <w:rFonts w:ascii="Arial" w:hAnsi="Arial" w:cs="Arial"/>
                <w:color w:val="000000"/>
                <w:szCs w:val="22"/>
                <w:highlight w:val="yellow"/>
                <w:lang w:eastAsia="en-GB"/>
              </w:rPr>
            </w:pPr>
            <w:r w:rsidRPr="00C64296">
              <w:rPr>
                <w:rFonts w:ascii="Arial" w:hAnsi="Arial" w:cs="Arial"/>
                <w:szCs w:val="22"/>
                <w:lang w:eastAsia="en-GB"/>
              </w:rPr>
              <w:t xml:space="preserve">In April 2019 the council was requested by HMRC to carry out a review of supplies of staff to identify any supplies which had not been subject to VAT ahead of a Business Risk Review </w:t>
            </w:r>
            <w:r w:rsidR="006A5631">
              <w:rPr>
                <w:rFonts w:ascii="Arial" w:hAnsi="Arial" w:cs="Arial"/>
                <w:szCs w:val="22"/>
                <w:lang w:eastAsia="en-GB"/>
              </w:rPr>
              <w:t>that</w:t>
            </w:r>
            <w:r w:rsidRPr="00C64296">
              <w:rPr>
                <w:rFonts w:ascii="Arial" w:hAnsi="Arial" w:cs="Arial"/>
                <w:szCs w:val="22"/>
                <w:lang w:eastAsia="en-GB"/>
              </w:rPr>
              <w:t xml:space="preserve"> is due to take place.</w:t>
            </w:r>
          </w:p>
          <w:p w:rsidR="004C64C7" w:rsidRPr="0010496A" w:rsidRDefault="008C4481" w:rsidP="004C64C7">
            <w:pPr>
              <w:spacing w:after="0"/>
              <w:rPr>
                <w:rFonts w:ascii="Arial" w:hAnsi="Arial" w:cs="Arial"/>
                <w:color w:val="000000"/>
                <w:szCs w:val="22"/>
                <w:highlight w:val="yellow"/>
                <w:lang w:eastAsia="en-GB"/>
              </w:rPr>
            </w:pPr>
          </w:p>
        </w:tc>
        <w:tc>
          <w:tcPr>
            <w:tcW w:w="1969" w:type="pct"/>
          </w:tcPr>
          <w:p w:rsidR="004C64C7" w:rsidRPr="003D4279" w:rsidRDefault="00B809F9" w:rsidP="004C64C7">
            <w:pPr>
              <w:spacing w:after="0"/>
              <w:rPr>
                <w:rFonts w:ascii="Arial" w:eastAsia="Times New Roman" w:hAnsi="Arial" w:cs="Arial"/>
                <w:color w:val="000000"/>
                <w:szCs w:val="22"/>
                <w:highlight w:val="magenta"/>
                <w:lang w:eastAsia="en-GB"/>
              </w:rPr>
            </w:pPr>
            <w:r w:rsidRPr="001F4FA7">
              <w:rPr>
                <w:rFonts w:ascii="Arial" w:eastAsia="Times New Roman" w:hAnsi="Arial" w:cs="Arial"/>
                <w:color w:val="000000"/>
                <w:szCs w:val="22"/>
                <w:lang w:eastAsia="en-GB"/>
              </w:rPr>
              <w:t>No.</w:t>
            </w:r>
          </w:p>
        </w:tc>
      </w:tr>
      <w:tr w:rsidR="00E85B06" w:rsidTr="003C457D">
        <w:trPr>
          <w:trHeight w:val="3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Are you aware of any transactions, events and conditions (or changes in these) that may give rise to recognition or disclosure of significant accounting estimates that require significant</w:t>
            </w:r>
          </w:p>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proofErr w:type="gramStart"/>
            <w:r w:rsidRPr="00585400">
              <w:rPr>
                <w:rFonts w:ascii="Arial" w:eastAsia="Times New Roman" w:hAnsi="Arial" w:cs="Arial"/>
                <w:color w:val="000000"/>
                <w:szCs w:val="22"/>
                <w:lang w:eastAsia="en-GB"/>
              </w:rPr>
              <w:t>judgement</w:t>
            </w:r>
            <w:proofErr w:type="gramEnd"/>
            <w:r w:rsidRPr="00585400">
              <w:rPr>
                <w:rFonts w:ascii="Arial" w:eastAsia="Times New Roman" w:hAnsi="Arial" w:cs="Arial"/>
                <w:color w:val="000000"/>
                <w:szCs w:val="22"/>
                <w:lang w:eastAsia="en-GB"/>
              </w:rPr>
              <w:t>?</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Yes.</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These are noted in the statement of accounts, and include:</w:t>
            </w:r>
          </w:p>
          <w:p w:rsidR="004C64C7" w:rsidRPr="000E7D54" w:rsidRDefault="008C4481" w:rsidP="004C64C7">
            <w:pPr>
              <w:spacing w:after="0"/>
              <w:rPr>
                <w:rFonts w:ascii="Arial" w:hAnsi="Arial" w:cs="Arial"/>
                <w:color w:val="000000"/>
                <w:szCs w:val="22"/>
                <w:lang w:eastAsia="en-GB"/>
              </w:rPr>
            </w:pPr>
          </w:p>
          <w:p w:rsidR="004C64C7" w:rsidRPr="000E7D54" w:rsidRDefault="00B809F9" w:rsidP="004C64C7">
            <w:pPr>
              <w:spacing w:after="0"/>
              <w:ind w:left="175" w:hanging="142"/>
              <w:rPr>
                <w:rFonts w:ascii="Arial" w:hAnsi="Arial" w:cs="Arial"/>
                <w:color w:val="000000"/>
                <w:szCs w:val="22"/>
                <w:lang w:eastAsia="en-GB"/>
              </w:rPr>
            </w:pPr>
            <w:r w:rsidRPr="000E7D54">
              <w:rPr>
                <w:rFonts w:ascii="Arial" w:hAnsi="Arial" w:cs="Arial"/>
                <w:color w:val="000000"/>
                <w:szCs w:val="22"/>
                <w:lang w:eastAsia="en-GB"/>
              </w:rPr>
              <w:t>- Property, plant and equipment valuations</w:t>
            </w:r>
          </w:p>
          <w:p w:rsidR="004C64C7" w:rsidRPr="000E7D54" w:rsidRDefault="00B809F9" w:rsidP="004C64C7">
            <w:pPr>
              <w:spacing w:after="0"/>
              <w:ind w:left="175" w:hanging="142"/>
              <w:rPr>
                <w:rFonts w:ascii="Arial" w:hAnsi="Arial" w:cs="Arial"/>
                <w:color w:val="000000"/>
                <w:szCs w:val="22"/>
                <w:lang w:eastAsia="en-GB"/>
              </w:rPr>
            </w:pPr>
            <w:r w:rsidRPr="000E7D54">
              <w:rPr>
                <w:rFonts w:ascii="Arial" w:hAnsi="Arial" w:cs="Arial"/>
                <w:color w:val="000000"/>
                <w:szCs w:val="22"/>
                <w:lang w:eastAsia="en-GB"/>
              </w:rPr>
              <w:t>- Property, plant and equipment depreciation</w:t>
            </w:r>
          </w:p>
          <w:p w:rsidR="004C64C7" w:rsidRPr="000E7D54" w:rsidRDefault="00B809F9" w:rsidP="004C64C7">
            <w:pPr>
              <w:spacing w:after="0"/>
              <w:ind w:left="175" w:hanging="142"/>
              <w:rPr>
                <w:rFonts w:ascii="Arial" w:hAnsi="Arial" w:cs="Arial"/>
                <w:color w:val="000000"/>
                <w:szCs w:val="22"/>
                <w:lang w:eastAsia="en-GB"/>
              </w:rPr>
            </w:pPr>
            <w:r w:rsidRPr="000E7D54">
              <w:rPr>
                <w:rFonts w:ascii="Arial" w:hAnsi="Arial" w:cs="Arial"/>
                <w:color w:val="000000"/>
                <w:szCs w:val="22"/>
                <w:lang w:eastAsia="en-GB"/>
              </w:rPr>
              <w:t>- Fair value estimations</w:t>
            </w:r>
          </w:p>
          <w:p w:rsidR="004C64C7" w:rsidRPr="000E7D54" w:rsidRDefault="00B809F9" w:rsidP="004C64C7">
            <w:pPr>
              <w:spacing w:after="0"/>
              <w:ind w:left="175" w:hanging="142"/>
              <w:rPr>
                <w:rFonts w:ascii="Arial" w:hAnsi="Arial" w:cs="Arial"/>
                <w:color w:val="000000"/>
                <w:szCs w:val="22"/>
                <w:lang w:eastAsia="en-GB"/>
              </w:rPr>
            </w:pPr>
            <w:r w:rsidRPr="000E7D54">
              <w:rPr>
                <w:rFonts w:ascii="Arial" w:hAnsi="Arial" w:cs="Arial"/>
                <w:color w:val="000000"/>
                <w:szCs w:val="22"/>
                <w:lang w:eastAsia="en-GB"/>
              </w:rPr>
              <w:t>- Impairment of debtors</w:t>
            </w:r>
          </w:p>
          <w:p w:rsidR="004C64C7" w:rsidRPr="000E7D54" w:rsidRDefault="00B809F9" w:rsidP="004C64C7">
            <w:pPr>
              <w:spacing w:after="0"/>
              <w:ind w:left="175" w:hanging="142"/>
              <w:rPr>
                <w:rFonts w:ascii="Arial" w:hAnsi="Arial" w:cs="Arial"/>
                <w:color w:val="000000"/>
                <w:szCs w:val="22"/>
                <w:lang w:eastAsia="en-GB"/>
              </w:rPr>
            </w:pPr>
            <w:r w:rsidRPr="000E7D54">
              <w:rPr>
                <w:rFonts w:ascii="Arial" w:hAnsi="Arial" w:cs="Arial"/>
                <w:color w:val="000000"/>
                <w:szCs w:val="22"/>
                <w:lang w:eastAsia="en-GB"/>
              </w:rPr>
              <w:t>- Pensions liability</w:t>
            </w:r>
          </w:p>
          <w:p w:rsidR="004C64C7" w:rsidRPr="0010496A" w:rsidRDefault="008C4481" w:rsidP="004C64C7">
            <w:pPr>
              <w:spacing w:after="0"/>
              <w:rPr>
                <w:rFonts w:ascii="Arial" w:hAnsi="Arial" w:cs="Arial"/>
                <w:color w:val="000000"/>
                <w:szCs w:val="22"/>
                <w:highlight w:val="yellow"/>
                <w:lang w:eastAsia="en-GB"/>
              </w:rPr>
            </w:pPr>
          </w:p>
          <w:p w:rsidR="004C64C7" w:rsidRPr="0010496A" w:rsidRDefault="008C4481" w:rsidP="004C64C7">
            <w:pPr>
              <w:spacing w:after="0"/>
              <w:rPr>
                <w:rFonts w:ascii="Arial" w:hAnsi="Arial" w:cs="Arial"/>
                <w:color w:val="000000"/>
                <w:szCs w:val="22"/>
                <w:highlight w:val="yellow"/>
                <w:lang w:eastAsia="en-GB"/>
              </w:rPr>
            </w:pPr>
          </w:p>
        </w:tc>
        <w:tc>
          <w:tcPr>
            <w:tcW w:w="1969" w:type="pct"/>
          </w:tcPr>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Yes.</w:t>
            </w:r>
          </w:p>
          <w:p w:rsidR="0003021B" w:rsidRPr="0003021B" w:rsidRDefault="008C4481" w:rsidP="004C64C7">
            <w:pPr>
              <w:spacing w:after="0"/>
              <w:rPr>
                <w:rFonts w:ascii="Arial" w:eastAsia="Times New Roman" w:hAnsi="Arial" w:cs="Arial"/>
                <w:color w:val="000000"/>
                <w:szCs w:val="22"/>
                <w:lang w:eastAsia="en-GB"/>
              </w:rPr>
            </w:pPr>
          </w:p>
          <w:p w:rsidR="0003021B" w:rsidRPr="0003021B" w:rsidRDefault="00B809F9" w:rsidP="0003021B">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Disclosures are included in the statement of accounts outlining areas of estimation uncertainty and significant judgements.</w:t>
            </w:r>
          </w:p>
          <w:p w:rsidR="0003021B" w:rsidRPr="003D4279" w:rsidRDefault="008C4481" w:rsidP="004C64C7">
            <w:pPr>
              <w:spacing w:after="0"/>
              <w:rPr>
                <w:rFonts w:ascii="Arial" w:eastAsia="Times New Roman" w:hAnsi="Arial" w:cs="Arial"/>
                <w:color w:val="000000"/>
                <w:szCs w:val="22"/>
                <w:highlight w:val="magenta"/>
                <w:lang w:eastAsia="en-GB"/>
              </w:rPr>
            </w:pPr>
          </w:p>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 xml:space="preserve">The valuation of investments, particularly those classed as Level 3 in the fair value hierarchy, is subject to professional judgement and estimation techniques.   </w:t>
            </w:r>
          </w:p>
          <w:p w:rsidR="004C64C7" w:rsidRPr="003D4279" w:rsidRDefault="008C4481" w:rsidP="004C64C7">
            <w:pPr>
              <w:spacing w:after="0"/>
              <w:rPr>
                <w:rFonts w:ascii="Arial" w:eastAsia="Times New Roman" w:hAnsi="Arial" w:cs="Arial"/>
                <w:color w:val="000000"/>
                <w:szCs w:val="22"/>
                <w:highlight w:val="magenta"/>
                <w:lang w:eastAsia="en-GB"/>
              </w:rPr>
            </w:pPr>
          </w:p>
          <w:p w:rsidR="004C64C7" w:rsidRPr="003D4279" w:rsidRDefault="00B809F9" w:rsidP="004C64C7">
            <w:pPr>
              <w:spacing w:after="0"/>
              <w:rPr>
                <w:rFonts w:ascii="Arial" w:eastAsia="Times New Roman" w:hAnsi="Arial" w:cs="Arial"/>
                <w:color w:val="000000"/>
                <w:szCs w:val="22"/>
                <w:highlight w:val="magenta"/>
                <w:lang w:eastAsia="en-GB"/>
              </w:rPr>
            </w:pPr>
            <w:r w:rsidRPr="0003021B">
              <w:rPr>
                <w:rFonts w:ascii="Arial" w:eastAsia="Times New Roman" w:hAnsi="Arial" w:cs="Arial"/>
                <w:color w:val="000000"/>
                <w:szCs w:val="22"/>
                <w:lang w:eastAsia="en-GB"/>
              </w:rPr>
              <w:t>Estimation of the liability to pay future pensions benefits is also based on professional judgment and complex assumptions.</w:t>
            </w:r>
          </w:p>
        </w:tc>
      </w:tr>
      <w:tr w:rsidR="00E85B06" w:rsidTr="003C457D">
        <w:trPr>
          <w:trHeight w:val="3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Where the financial statements include amounts based on significant estimates, how have the accounting estimates been made, what is the nature of the data used, and the degree of estimate uncertainty inherent in the estimate?</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ind w:left="33"/>
              <w:rPr>
                <w:rFonts w:ascii="Arial" w:hAnsi="Arial" w:cs="Arial"/>
                <w:color w:val="000000"/>
                <w:szCs w:val="22"/>
                <w:lang w:eastAsia="en-GB"/>
              </w:rPr>
            </w:pPr>
            <w:r w:rsidRPr="000E7D54">
              <w:rPr>
                <w:rFonts w:ascii="Arial" w:hAnsi="Arial" w:cs="Arial"/>
                <w:color w:val="000000"/>
                <w:szCs w:val="22"/>
                <w:lang w:eastAsia="en-GB"/>
              </w:rPr>
              <w:t xml:space="preserve">Property, plant and equipment valuations - </w:t>
            </w:r>
          </w:p>
          <w:p w:rsidR="004C64C7" w:rsidRPr="000E7D54" w:rsidRDefault="00B809F9" w:rsidP="004C64C7">
            <w:pPr>
              <w:pStyle w:val="Default"/>
              <w:ind w:left="33"/>
              <w:rPr>
                <w:rFonts w:ascii="Arial" w:hAnsi="Arial" w:cs="Arial"/>
                <w:sz w:val="22"/>
                <w:szCs w:val="22"/>
              </w:rPr>
            </w:pPr>
            <w:r w:rsidRPr="000E7D54">
              <w:rPr>
                <w:rFonts w:ascii="Arial" w:hAnsi="Arial" w:cs="Arial"/>
                <w:sz w:val="22"/>
                <w:szCs w:val="22"/>
              </w:rPr>
              <w:t xml:space="preserve">The council commissions a rolling programme of valuations. Valuations are undertaken by qualified </w:t>
            </w:r>
            <w:proofErr w:type="spellStart"/>
            <w:r w:rsidRPr="000E7D54">
              <w:rPr>
                <w:rFonts w:ascii="Arial" w:hAnsi="Arial" w:cs="Arial"/>
                <w:sz w:val="22"/>
                <w:szCs w:val="22"/>
              </w:rPr>
              <w:t>valuers</w:t>
            </w:r>
            <w:proofErr w:type="spellEnd"/>
            <w:r w:rsidRPr="000E7D54">
              <w:rPr>
                <w:rFonts w:ascii="Arial" w:hAnsi="Arial" w:cs="Arial"/>
                <w:sz w:val="22"/>
                <w:szCs w:val="22"/>
              </w:rPr>
              <w:t xml:space="preserve"> within the council's estates department in accordance with the Royal Institute of Chartered Surveyors (RICS) professional standards using recognised measurement techniques. </w:t>
            </w:r>
          </w:p>
          <w:p w:rsidR="004C64C7" w:rsidRPr="000E7D54" w:rsidRDefault="008C4481" w:rsidP="004C64C7">
            <w:pPr>
              <w:spacing w:after="0"/>
              <w:ind w:left="33"/>
              <w:rPr>
                <w:rFonts w:ascii="Arial" w:hAnsi="Arial" w:cs="Arial"/>
                <w:color w:val="000000"/>
                <w:szCs w:val="22"/>
                <w:lang w:eastAsia="en-GB"/>
              </w:rPr>
            </w:pPr>
          </w:p>
          <w:p w:rsidR="004C64C7" w:rsidRPr="000E7D54" w:rsidRDefault="00B809F9" w:rsidP="004C64C7">
            <w:pPr>
              <w:spacing w:after="0"/>
              <w:ind w:left="33"/>
              <w:rPr>
                <w:rFonts w:ascii="Arial" w:hAnsi="Arial" w:cs="Arial"/>
                <w:color w:val="000000"/>
                <w:szCs w:val="22"/>
                <w:lang w:eastAsia="en-GB"/>
              </w:rPr>
            </w:pPr>
            <w:r w:rsidRPr="000E7D54">
              <w:rPr>
                <w:rFonts w:ascii="Arial" w:hAnsi="Arial" w:cs="Arial"/>
                <w:color w:val="000000"/>
                <w:szCs w:val="22"/>
                <w:lang w:eastAsia="en-GB"/>
              </w:rPr>
              <w:t xml:space="preserve">Property, plant and equipment depreciation - </w:t>
            </w:r>
          </w:p>
          <w:p w:rsidR="004C64C7" w:rsidRPr="000E7D54" w:rsidRDefault="00B809F9" w:rsidP="004C64C7">
            <w:pPr>
              <w:pStyle w:val="Default"/>
              <w:ind w:left="33"/>
              <w:rPr>
                <w:rFonts w:ascii="Arial" w:hAnsi="Arial" w:cs="Arial"/>
                <w:sz w:val="22"/>
                <w:szCs w:val="22"/>
              </w:rPr>
            </w:pPr>
            <w:r w:rsidRPr="000E7D54">
              <w:rPr>
                <w:rFonts w:ascii="Arial" w:hAnsi="Arial" w:cs="Arial"/>
                <w:sz w:val="22"/>
                <w:szCs w:val="22"/>
              </w:rPr>
              <w:t xml:space="preserve">Assets are depreciated over useful lives that are dependent on assumptions about the level of repairs and maintenance that will be incurred in relation to individual assets. </w:t>
            </w:r>
          </w:p>
          <w:p w:rsidR="004C64C7" w:rsidRPr="000E7D54" w:rsidRDefault="008C4481" w:rsidP="004C64C7">
            <w:pPr>
              <w:spacing w:after="0"/>
              <w:ind w:left="33"/>
              <w:rPr>
                <w:rFonts w:ascii="Arial" w:hAnsi="Arial" w:cs="Arial"/>
                <w:color w:val="000000"/>
                <w:szCs w:val="22"/>
                <w:lang w:eastAsia="en-GB"/>
              </w:rPr>
            </w:pPr>
          </w:p>
          <w:p w:rsidR="004C64C7" w:rsidRPr="000E7D54" w:rsidRDefault="00B809F9" w:rsidP="004C64C7">
            <w:pPr>
              <w:spacing w:after="0"/>
              <w:ind w:left="33"/>
              <w:rPr>
                <w:rFonts w:ascii="Arial" w:hAnsi="Arial" w:cs="Arial"/>
                <w:color w:val="000000"/>
                <w:szCs w:val="22"/>
                <w:lang w:eastAsia="en-GB"/>
              </w:rPr>
            </w:pPr>
            <w:r w:rsidRPr="000E7D54">
              <w:rPr>
                <w:rFonts w:ascii="Arial" w:hAnsi="Arial" w:cs="Arial"/>
                <w:color w:val="000000"/>
                <w:szCs w:val="22"/>
                <w:lang w:eastAsia="en-GB"/>
              </w:rPr>
              <w:t xml:space="preserve">Fair value estimations - </w:t>
            </w:r>
          </w:p>
          <w:p w:rsidR="004C64C7" w:rsidRPr="000E7D54" w:rsidRDefault="00B809F9" w:rsidP="004C64C7">
            <w:pPr>
              <w:pStyle w:val="Default"/>
              <w:ind w:left="33"/>
              <w:rPr>
                <w:rFonts w:ascii="Arial" w:hAnsi="Arial" w:cs="Arial"/>
                <w:sz w:val="22"/>
                <w:szCs w:val="22"/>
              </w:rPr>
            </w:pPr>
            <w:r w:rsidRPr="000E7D54">
              <w:rPr>
                <w:rFonts w:ascii="Arial" w:hAnsi="Arial" w:cs="Arial"/>
                <w:sz w:val="22"/>
                <w:szCs w:val="22"/>
              </w:rPr>
              <w:t xml:space="preserve">When the fair values of investment properties, surplus assets and assets held for sale cannot be measured based on quoted prices in active markets, their fair value is measured </w:t>
            </w:r>
            <w:r w:rsidRPr="000E7D54">
              <w:rPr>
                <w:rFonts w:ascii="Arial" w:hAnsi="Arial" w:cs="Arial"/>
                <w:sz w:val="22"/>
                <w:szCs w:val="22"/>
              </w:rPr>
              <w:lastRenderedPageBreak/>
              <w:t>using the valuation techniques following the CIPFA code. All valuations are undertaken in accordance with the methodologies and bases for estimation set out in the professional standards of the RICS.</w:t>
            </w:r>
          </w:p>
          <w:p w:rsidR="004C64C7" w:rsidRPr="000E7D54" w:rsidRDefault="008C4481" w:rsidP="004C64C7">
            <w:pPr>
              <w:spacing w:after="0"/>
              <w:ind w:left="33"/>
              <w:rPr>
                <w:rFonts w:ascii="Arial" w:hAnsi="Arial" w:cs="Arial"/>
                <w:color w:val="000000"/>
                <w:szCs w:val="22"/>
                <w:lang w:eastAsia="en-GB"/>
              </w:rPr>
            </w:pPr>
          </w:p>
          <w:p w:rsidR="004C64C7" w:rsidRPr="000E7D54" w:rsidRDefault="00B809F9" w:rsidP="004C64C7">
            <w:pPr>
              <w:spacing w:after="0"/>
              <w:ind w:left="33"/>
              <w:rPr>
                <w:rFonts w:ascii="Arial" w:hAnsi="Arial" w:cs="Arial"/>
                <w:color w:val="000000"/>
                <w:szCs w:val="22"/>
                <w:lang w:eastAsia="en-GB"/>
              </w:rPr>
            </w:pPr>
            <w:r w:rsidRPr="000E7D54">
              <w:rPr>
                <w:rFonts w:ascii="Arial" w:hAnsi="Arial" w:cs="Arial"/>
                <w:color w:val="000000"/>
                <w:szCs w:val="22"/>
                <w:lang w:eastAsia="en-GB"/>
              </w:rPr>
              <w:t xml:space="preserve">Impairment of debtors - </w:t>
            </w:r>
          </w:p>
          <w:p w:rsidR="004C64C7" w:rsidRPr="000E7D54" w:rsidRDefault="00B809F9" w:rsidP="004C64C7">
            <w:pPr>
              <w:pStyle w:val="Default"/>
              <w:ind w:left="33"/>
              <w:rPr>
                <w:rFonts w:ascii="Arial" w:hAnsi="Arial" w:cs="Arial"/>
                <w:sz w:val="22"/>
                <w:szCs w:val="22"/>
              </w:rPr>
            </w:pPr>
            <w:r w:rsidRPr="000E7D54">
              <w:rPr>
                <w:rFonts w:ascii="Arial" w:hAnsi="Arial" w:cs="Arial"/>
                <w:sz w:val="22"/>
                <w:szCs w:val="22"/>
              </w:rPr>
              <w:t xml:space="preserve">Analysis of historic payment data to project lifetime recoverability of debtor balances. </w:t>
            </w:r>
          </w:p>
          <w:p w:rsidR="004C64C7" w:rsidRPr="000E7D54" w:rsidRDefault="008C4481" w:rsidP="004C64C7">
            <w:pPr>
              <w:spacing w:after="0"/>
              <w:ind w:left="33"/>
              <w:rPr>
                <w:rFonts w:ascii="Arial" w:hAnsi="Arial" w:cs="Arial"/>
                <w:color w:val="000000"/>
                <w:szCs w:val="22"/>
                <w:lang w:eastAsia="en-GB"/>
              </w:rPr>
            </w:pPr>
          </w:p>
          <w:p w:rsidR="004C64C7" w:rsidRPr="000E7D54" w:rsidRDefault="00B809F9" w:rsidP="004C64C7">
            <w:pPr>
              <w:spacing w:after="0"/>
              <w:ind w:left="33"/>
              <w:rPr>
                <w:rFonts w:ascii="Arial" w:hAnsi="Arial" w:cs="Arial"/>
                <w:color w:val="000000"/>
                <w:szCs w:val="22"/>
                <w:lang w:eastAsia="en-GB"/>
              </w:rPr>
            </w:pPr>
            <w:r w:rsidRPr="000E7D54">
              <w:rPr>
                <w:rFonts w:ascii="Arial" w:hAnsi="Arial" w:cs="Arial"/>
                <w:color w:val="000000"/>
                <w:szCs w:val="22"/>
                <w:lang w:eastAsia="en-GB"/>
              </w:rPr>
              <w:t xml:space="preserve">Pensions liability - </w:t>
            </w:r>
          </w:p>
          <w:p w:rsidR="004C64C7" w:rsidRPr="000E7D54" w:rsidRDefault="00B809F9" w:rsidP="004C64C7">
            <w:pPr>
              <w:pStyle w:val="Default"/>
              <w:ind w:left="33"/>
              <w:rPr>
                <w:rFonts w:ascii="Arial" w:hAnsi="Arial" w:cs="Arial"/>
                <w:sz w:val="22"/>
                <w:szCs w:val="22"/>
              </w:rPr>
            </w:pPr>
            <w:r w:rsidRPr="000E7D54">
              <w:rPr>
                <w:rFonts w:ascii="Arial" w:hAnsi="Arial" w:cs="Arial"/>
                <w:sz w:val="22"/>
                <w:szCs w:val="22"/>
              </w:rPr>
              <w:t xml:space="preserve">The net liability to pay pensions is calculated every 3 years with annual updates in the intervening years. A firm of consulting actuaries is engaged to provide the Council with expert advice about the assumptions to be applied. </w:t>
            </w:r>
          </w:p>
          <w:p w:rsidR="004C64C7" w:rsidRPr="002F18A8" w:rsidRDefault="008C4481" w:rsidP="004C64C7">
            <w:pPr>
              <w:spacing w:after="0"/>
              <w:rPr>
                <w:rFonts w:ascii="Arial" w:hAnsi="Arial" w:cs="Arial"/>
                <w:color w:val="000000"/>
                <w:szCs w:val="22"/>
                <w:highlight w:val="green"/>
                <w:lang w:eastAsia="en-GB"/>
              </w:rPr>
            </w:pPr>
          </w:p>
        </w:tc>
        <w:tc>
          <w:tcPr>
            <w:tcW w:w="1969" w:type="pct"/>
          </w:tcPr>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lastRenderedPageBreak/>
              <w:t xml:space="preserve">Estimates and judgements are based on best industry practice in respect of the valuation of level 3 investments and investment properties.  Where applicable, industry standards are applied.  </w:t>
            </w:r>
          </w:p>
          <w:p w:rsidR="004C64C7" w:rsidRPr="001F4FA7" w:rsidRDefault="008C4481" w:rsidP="004C64C7">
            <w:pPr>
              <w:spacing w:after="0"/>
              <w:rPr>
                <w:rFonts w:ascii="Arial" w:eastAsia="Times New Roman" w:hAnsi="Arial" w:cs="Arial"/>
                <w:color w:val="000000"/>
                <w:szCs w:val="22"/>
                <w:lang w:eastAsia="en-GB"/>
              </w:rPr>
            </w:pPr>
          </w:p>
          <w:p w:rsidR="004C64C7" w:rsidRPr="001F4FA7" w:rsidRDefault="00B809F9" w:rsidP="004C64C7">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For private equity and infrastructure assets the valuations are assessed using Internal Private Equity and Venture Capital Valuation Guidelines or equivalent.</w:t>
            </w:r>
          </w:p>
          <w:p w:rsidR="004C64C7" w:rsidRPr="001F4FA7" w:rsidRDefault="008C4481" w:rsidP="004C64C7">
            <w:pPr>
              <w:spacing w:after="0"/>
              <w:rPr>
                <w:rFonts w:ascii="Arial" w:eastAsia="Times New Roman" w:hAnsi="Arial" w:cs="Arial"/>
                <w:color w:val="000000"/>
                <w:szCs w:val="22"/>
                <w:lang w:eastAsia="en-GB"/>
              </w:rPr>
            </w:pPr>
          </w:p>
          <w:p w:rsidR="004C64C7" w:rsidRPr="001F4FA7" w:rsidRDefault="00B809F9" w:rsidP="004C64C7">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 xml:space="preserve">Long term credit investments are valued at the Fund's </w:t>
            </w:r>
            <w:r w:rsidR="006A5631">
              <w:rPr>
                <w:rFonts w:ascii="Arial" w:eastAsia="Times New Roman" w:hAnsi="Arial" w:cs="Arial"/>
                <w:color w:val="000000"/>
                <w:szCs w:val="22"/>
                <w:lang w:eastAsia="en-GB"/>
              </w:rPr>
              <w:t>percentage</w:t>
            </w:r>
            <w:r w:rsidRPr="001F4FA7">
              <w:rPr>
                <w:rFonts w:ascii="Arial" w:eastAsia="Times New Roman" w:hAnsi="Arial" w:cs="Arial"/>
                <w:color w:val="000000"/>
                <w:szCs w:val="22"/>
                <w:lang w:eastAsia="en-GB"/>
              </w:rPr>
              <w:t xml:space="preserve"> holding based on audited net asset value provided by external investment managers.</w:t>
            </w:r>
          </w:p>
          <w:p w:rsidR="004C64C7" w:rsidRPr="001F4FA7" w:rsidRDefault="008C4481" w:rsidP="004C64C7">
            <w:pPr>
              <w:spacing w:after="0"/>
              <w:rPr>
                <w:rFonts w:ascii="Arial" w:eastAsia="Times New Roman" w:hAnsi="Arial" w:cs="Arial"/>
                <w:color w:val="000000"/>
                <w:szCs w:val="22"/>
                <w:lang w:eastAsia="en-GB"/>
              </w:rPr>
            </w:pPr>
          </w:p>
          <w:p w:rsidR="004C64C7" w:rsidRPr="001F4FA7" w:rsidRDefault="00B809F9" w:rsidP="004C64C7">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 xml:space="preserve">Real estate is valued according to Royal Institution of Chartered Surveyors (RICS) Appraisal and Valuation </w:t>
            </w:r>
            <w:r w:rsidRPr="001F4FA7">
              <w:rPr>
                <w:rFonts w:ascii="Arial" w:eastAsia="Times New Roman" w:hAnsi="Arial" w:cs="Arial"/>
                <w:color w:val="000000"/>
                <w:szCs w:val="22"/>
                <w:lang w:eastAsia="en-GB"/>
              </w:rPr>
              <w:lastRenderedPageBreak/>
              <w:t xml:space="preserve">Standards.  Valuations of directly held properties are provided by external </w:t>
            </w:r>
            <w:proofErr w:type="spellStart"/>
            <w:r w:rsidRPr="001F4FA7">
              <w:rPr>
                <w:rFonts w:ascii="Arial" w:eastAsia="Times New Roman" w:hAnsi="Arial" w:cs="Arial"/>
                <w:color w:val="000000"/>
                <w:szCs w:val="22"/>
                <w:lang w:eastAsia="en-GB"/>
              </w:rPr>
              <w:t>valuer</w:t>
            </w:r>
            <w:proofErr w:type="spellEnd"/>
            <w:r w:rsidRPr="001F4FA7">
              <w:rPr>
                <w:rFonts w:ascii="Arial" w:eastAsia="Times New Roman" w:hAnsi="Arial" w:cs="Arial"/>
                <w:color w:val="000000"/>
                <w:szCs w:val="22"/>
                <w:lang w:eastAsia="en-GB"/>
              </w:rPr>
              <w:t>, the Avison Young Partnership group.</w:t>
            </w:r>
          </w:p>
          <w:p w:rsidR="004C64C7" w:rsidRPr="001F4FA7" w:rsidRDefault="008C4481" w:rsidP="004C64C7">
            <w:pPr>
              <w:spacing w:after="0"/>
              <w:rPr>
                <w:rFonts w:ascii="Arial" w:eastAsia="Times New Roman" w:hAnsi="Arial" w:cs="Arial"/>
                <w:color w:val="000000"/>
                <w:szCs w:val="22"/>
                <w:lang w:eastAsia="en-GB"/>
              </w:rPr>
            </w:pPr>
          </w:p>
          <w:p w:rsidR="004C64C7" w:rsidRPr="001F4FA7" w:rsidRDefault="00B809F9" w:rsidP="004C64C7">
            <w:pPr>
              <w:spacing w:after="0"/>
              <w:rPr>
                <w:rFonts w:ascii="Arial" w:eastAsia="Times New Roman" w:hAnsi="Arial" w:cs="Arial"/>
                <w:color w:val="000000"/>
                <w:szCs w:val="22"/>
                <w:lang w:eastAsia="en-GB"/>
              </w:rPr>
            </w:pPr>
            <w:r w:rsidRPr="001F4FA7">
              <w:rPr>
                <w:rFonts w:ascii="Arial" w:eastAsia="Times New Roman" w:hAnsi="Arial" w:cs="Arial"/>
                <w:color w:val="000000"/>
                <w:szCs w:val="22"/>
                <w:lang w:eastAsia="en-GB"/>
              </w:rPr>
              <w:t>The estimation of the liability to pay future pension benefits is dependent on a number of complex assumptions.  A firm of consulting actuaries (Mercer) provides the Fund with expert external advice.</w:t>
            </w:r>
          </w:p>
          <w:p w:rsidR="004C64C7" w:rsidRPr="001F4FA7" w:rsidRDefault="008C4481" w:rsidP="004C64C7">
            <w:pPr>
              <w:spacing w:after="0"/>
              <w:rPr>
                <w:rFonts w:ascii="Arial" w:eastAsia="Times New Roman" w:hAnsi="Arial" w:cs="Arial"/>
                <w:color w:val="000000"/>
                <w:szCs w:val="22"/>
                <w:lang w:eastAsia="en-GB"/>
              </w:rPr>
            </w:pPr>
          </w:p>
        </w:tc>
      </w:tr>
      <w:tr w:rsidR="00E85B06" w:rsidTr="003C457D">
        <w:trPr>
          <w:trHeight w:val="3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lastRenderedPageBreak/>
              <w:t>Are you aware of the existence of loss contingencies and/or un-asserted claims that may affect the financial statements?</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10496A" w:rsidRDefault="00B809F9" w:rsidP="004C64C7">
            <w:pPr>
              <w:spacing w:after="0"/>
              <w:rPr>
                <w:rFonts w:ascii="Arial" w:hAnsi="Arial" w:cs="Arial"/>
                <w:color w:val="000000"/>
                <w:szCs w:val="22"/>
                <w:highlight w:val="yellow"/>
                <w:lang w:eastAsia="en-GB"/>
              </w:rPr>
            </w:pPr>
            <w:r w:rsidRPr="000E7D54">
              <w:rPr>
                <w:rFonts w:ascii="Arial" w:hAnsi="Arial" w:cs="Arial"/>
                <w:color w:val="000000"/>
                <w:szCs w:val="22"/>
                <w:lang w:eastAsia="en-GB"/>
              </w:rPr>
              <w:t>No.</w:t>
            </w:r>
          </w:p>
        </w:tc>
        <w:tc>
          <w:tcPr>
            <w:tcW w:w="1969" w:type="pct"/>
          </w:tcPr>
          <w:p w:rsidR="004C64C7" w:rsidRPr="003D4279" w:rsidRDefault="00B809F9" w:rsidP="004C64C7">
            <w:pPr>
              <w:spacing w:after="0"/>
              <w:rPr>
                <w:rFonts w:ascii="Arial" w:eastAsia="Times New Roman" w:hAnsi="Arial" w:cs="Arial"/>
                <w:color w:val="000000"/>
                <w:szCs w:val="22"/>
                <w:highlight w:val="magenta"/>
                <w:lang w:eastAsia="en-GB"/>
              </w:rPr>
            </w:pPr>
            <w:r w:rsidRPr="0003021B">
              <w:rPr>
                <w:rFonts w:ascii="Arial" w:eastAsia="Times New Roman" w:hAnsi="Arial" w:cs="Arial"/>
                <w:color w:val="000000"/>
                <w:szCs w:val="22"/>
                <w:lang w:eastAsia="en-GB"/>
              </w:rPr>
              <w:t>No.</w:t>
            </w:r>
          </w:p>
        </w:tc>
      </w:tr>
      <w:tr w:rsidR="00E85B06" w:rsidTr="003C457D">
        <w:trPr>
          <w:trHeight w:val="300"/>
        </w:trPr>
        <w:tc>
          <w:tcPr>
            <w:tcW w:w="1062" w:type="pct"/>
          </w:tcPr>
          <w:p w:rsidR="004C64C7" w:rsidRPr="00585400" w:rsidRDefault="00B809F9" w:rsidP="004C64C7">
            <w:pPr>
              <w:autoSpaceDE w:val="0"/>
              <w:autoSpaceDN w:val="0"/>
              <w:adjustRightInd w:val="0"/>
              <w:spacing w:after="0"/>
              <w:rPr>
                <w:rFonts w:ascii="Arial" w:hAnsi="Arial" w:cs="Arial"/>
                <w:color w:val="000000"/>
                <w:szCs w:val="22"/>
                <w:lang w:eastAsia="en-GB"/>
              </w:rPr>
            </w:pPr>
            <w:r w:rsidRPr="00585400">
              <w:rPr>
                <w:rFonts w:ascii="Arial" w:hAnsi="Arial" w:cs="Arial"/>
                <w:color w:val="000000"/>
                <w:szCs w:val="22"/>
                <w:lang w:eastAsia="en-GB"/>
              </w:rPr>
              <w:t>What is the current position in respect of any of the prior years reported internal control deficiencies?</w:t>
            </w:r>
          </w:p>
          <w:p w:rsidR="004C64C7" w:rsidRPr="00585400" w:rsidRDefault="008C4481" w:rsidP="004C64C7">
            <w:pPr>
              <w:autoSpaceDE w:val="0"/>
              <w:autoSpaceDN w:val="0"/>
              <w:adjustRightInd w:val="0"/>
              <w:spacing w:after="0"/>
              <w:rPr>
                <w:rFonts w:ascii="Arial" w:hAnsi="Arial" w:cs="Arial"/>
                <w:color w:val="000000"/>
                <w:szCs w:val="22"/>
                <w:lang w:eastAsia="en-GB"/>
              </w:rPr>
            </w:pPr>
          </w:p>
          <w:p w:rsidR="004C64C7" w:rsidRPr="00585400" w:rsidRDefault="008C4481" w:rsidP="004C64C7">
            <w:pPr>
              <w:autoSpaceDE w:val="0"/>
              <w:autoSpaceDN w:val="0"/>
              <w:adjustRightInd w:val="0"/>
              <w:spacing w:after="0"/>
              <w:rPr>
                <w:rFonts w:ascii="Arial" w:hAnsi="Arial" w:cs="Arial"/>
                <w:color w:val="000000"/>
                <w:szCs w:val="22"/>
                <w:lang w:eastAsia="en-GB"/>
              </w:rPr>
            </w:pPr>
          </w:p>
          <w:p w:rsidR="004C64C7" w:rsidRPr="00585400" w:rsidRDefault="008C4481" w:rsidP="004C64C7">
            <w:pPr>
              <w:autoSpaceDE w:val="0"/>
              <w:autoSpaceDN w:val="0"/>
              <w:adjustRightInd w:val="0"/>
              <w:spacing w:after="0"/>
              <w:rPr>
                <w:rFonts w:ascii="Arial" w:hAnsi="Arial" w:cs="Arial"/>
                <w:color w:val="000000"/>
                <w:szCs w:val="22"/>
                <w:lang w:eastAsia="en-GB"/>
              </w:rPr>
            </w:pPr>
          </w:p>
        </w:tc>
        <w:tc>
          <w:tcPr>
            <w:tcW w:w="1969" w:type="pct"/>
          </w:tcPr>
          <w:p w:rsidR="004C64C7" w:rsidRPr="000E7D54" w:rsidRDefault="00B809F9" w:rsidP="004C64C7">
            <w:pPr>
              <w:autoSpaceDE w:val="0"/>
              <w:autoSpaceDN w:val="0"/>
              <w:adjustRightInd w:val="0"/>
              <w:spacing w:after="0"/>
              <w:rPr>
                <w:rFonts w:ascii="Arial" w:hAnsi="Arial" w:cs="Arial"/>
                <w:szCs w:val="22"/>
                <w:lang w:eastAsia="en-GB"/>
              </w:rPr>
            </w:pPr>
            <w:r w:rsidRPr="000E7D54">
              <w:rPr>
                <w:rFonts w:ascii="Arial" w:hAnsi="Arial" w:cs="Arial"/>
                <w:szCs w:val="22"/>
                <w:lang w:eastAsia="en-GB"/>
              </w:rPr>
              <w:t>A considerable programme of improvements to services, systems and process is still under way, although this is also closely related to cost-saving measures.</w:t>
            </w:r>
          </w:p>
          <w:p w:rsidR="004C64C7" w:rsidRPr="000E7D54" w:rsidRDefault="008C4481" w:rsidP="004C64C7">
            <w:pPr>
              <w:autoSpaceDE w:val="0"/>
              <w:autoSpaceDN w:val="0"/>
              <w:adjustRightInd w:val="0"/>
              <w:spacing w:after="0"/>
              <w:rPr>
                <w:rFonts w:ascii="Arial" w:hAnsi="Arial" w:cs="Arial"/>
                <w:szCs w:val="22"/>
                <w:lang w:eastAsia="en-GB"/>
              </w:rPr>
            </w:pPr>
          </w:p>
          <w:p w:rsidR="004C64C7" w:rsidRDefault="00B809F9" w:rsidP="008C4481">
            <w:pPr>
              <w:autoSpaceDE w:val="0"/>
              <w:autoSpaceDN w:val="0"/>
              <w:adjustRightInd w:val="0"/>
              <w:spacing w:after="0"/>
              <w:rPr>
                <w:rFonts w:ascii="Arial" w:hAnsi="Arial" w:cs="Arial"/>
                <w:szCs w:val="22"/>
                <w:highlight w:val="yellow"/>
                <w:lang w:eastAsia="en-GB"/>
              </w:rPr>
            </w:pPr>
            <w:r w:rsidRPr="000E7D54">
              <w:rPr>
                <w:rFonts w:ascii="Arial" w:hAnsi="Arial" w:cs="Arial"/>
                <w:szCs w:val="22"/>
                <w:lang w:eastAsia="en-GB"/>
              </w:rPr>
              <w:t>Managers regularly provide information about the status of each action arising as a result of internal audit work and these are generally being progressed.</w:t>
            </w:r>
            <w:r w:rsidRPr="0010496A">
              <w:rPr>
                <w:rFonts w:ascii="Arial" w:hAnsi="Arial" w:cs="Arial"/>
                <w:szCs w:val="22"/>
                <w:highlight w:val="yellow"/>
                <w:lang w:eastAsia="en-GB"/>
              </w:rPr>
              <w:t xml:space="preserve"> </w:t>
            </w:r>
          </w:p>
          <w:p w:rsidR="008C4481" w:rsidRPr="0010496A" w:rsidRDefault="008C4481" w:rsidP="008C4481">
            <w:pPr>
              <w:autoSpaceDE w:val="0"/>
              <w:autoSpaceDN w:val="0"/>
              <w:adjustRightInd w:val="0"/>
              <w:spacing w:after="0"/>
              <w:rPr>
                <w:rFonts w:ascii="Arial" w:hAnsi="Arial" w:cs="Arial"/>
                <w:color w:val="000000"/>
                <w:szCs w:val="22"/>
                <w:highlight w:val="yellow"/>
                <w:lang w:eastAsia="en-GB"/>
              </w:rPr>
            </w:pPr>
            <w:bookmarkStart w:id="0" w:name="_GoBack"/>
            <w:bookmarkEnd w:id="0"/>
          </w:p>
        </w:tc>
        <w:tc>
          <w:tcPr>
            <w:tcW w:w="1969" w:type="pct"/>
          </w:tcPr>
          <w:p w:rsidR="004C64C7" w:rsidRPr="0003021B" w:rsidRDefault="00B809F9" w:rsidP="0003021B">
            <w:pPr>
              <w:spacing w:after="0"/>
              <w:rPr>
                <w:rFonts w:ascii="Arial" w:hAnsi="Arial" w:cs="Arial"/>
                <w:color w:val="000000"/>
                <w:szCs w:val="22"/>
                <w:lang w:eastAsia="en-GB"/>
              </w:rPr>
            </w:pPr>
            <w:r>
              <w:rPr>
                <w:rFonts w:ascii="Arial" w:hAnsi="Arial" w:cs="Arial"/>
                <w:szCs w:val="22"/>
                <w:lang w:eastAsia="en-GB"/>
              </w:rPr>
              <w:t xml:space="preserve">The internal audit </w:t>
            </w:r>
            <w:r w:rsidR="006A5631">
              <w:rPr>
                <w:rFonts w:ascii="Arial" w:hAnsi="Arial" w:cs="Arial"/>
                <w:szCs w:val="22"/>
                <w:lang w:eastAsia="en-GB"/>
              </w:rPr>
              <w:t xml:space="preserve">service </w:t>
            </w:r>
            <w:r>
              <w:rPr>
                <w:rFonts w:ascii="Arial" w:hAnsi="Arial" w:cs="Arial"/>
                <w:szCs w:val="22"/>
                <w:lang w:eastAsia="en-GB"/>
              </w:rPr>
              <w:t>gave substantial assurance over the oversight of the pension fund and no internal control deficiencies were reported.</w:t>
            </w:r>
          </w:p>
        </w:tc>
      </w:tr>
      <w:tr w:rsidR="00E85B06" w:rsidTr="0003021B">
        <w:trPr>
          <w:trHeight w:val="3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Can you provide details of those solicitors utilised by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ouncil during the year. Please indicate where they are working on open litigation or contingencies from prior years?</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0E7D54" w:rsidRDefault="00B809F9" w:rsidP="004C64C7">
            <w:pPr>
              <w:spacing w:after="0"/>
              <w:rPr>
                <w:rFonts w:ascii="Arial" w:hAnsi="Arial" w:cs="Arial"/>
                <w:color w:val="000000"/>
                <w:szCs w:val="22"/>
                <w:lang w:eastAsia="en-GB"/>
              </w:rPr>
            </w:pPr>
            <w:r w:rsidRPr="000E7D54">
              <w:rPr>
                <w:rFonts w:ascii="Arial" w:hAnsi="Arial" w:cs="Arial"/>
                <w:color w:val="000000"/>
                <w:szCs w:val="22"/>
                <w:lang w:eastAsia="en-GB"/>
              </w:rPr>
              <w:t>The county council utilises external solicitors and counsel on a range of issues. The litigation team within the council's legal services deals with on-going claims and litigation on issues such as highways, child protection and employment issues. The council maintains extensive records relating to both historic and current cases.</w:t>
            </w:r>
          </w:p>
          <w:p w:rsidR="004C64C7" w:rsidRPr="0010496A" w:rsidRDefault="008C4481" w:rsidP="004C64C7">
            <w:pPr>
              <w:spacing w:after="0"/>
              <w:rPr>
                <w:rFonts w:ascii="Arial" w:hAnsi="Arial" w:cs="Arial"/>
                <w:color w:val="000000"/>
                <w:szCs w:val="22"/>
                <w:highlight w:val="yellow"/>
                <w:lang w:eastAsia="en-GB"/>
              </w:rPr>
            </w:pPr>
          </w:p>
        </w:tc>
        <w:tc>
          <w:tcPr>
            <w:tcW w:w="1969" w:type="pct"/>
            <w:shd w:val="clear" w:color="auto" w:fill="auto"/>
          </w:tcPr>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Pinsent Masons – ongoing class action litigation in respect of manufacture overseas dividends.</w:t>
            </w:r>
          </w:p>
          <w:p w:rsidR="004C64C7" w:rsidRPr="0003021B" w:rsidRDefault="008C4481" w:rsidP="004C64C7">
            <w:pPr>
              <w:spacing w:after="0"/>
              <w:rPr>
                <w:rFonts w:ascii="Arial" w:eastAsia="Times New Roman" w:hAnsi="Arial" w:cs="Arial"/>
                <w:color w:val="000000"/>
                <w:szCs w:val="22"/>
                <w:lang w:eastAsia="en-GB"/>
              </w:rPr>
            </w:pPr>
          </w:p>
          <w:p w:rsidR="004C64C7" w:rsidRPr="003D4279" w:rsidRDefault="00B809F9" w:rsidP="0003021B">
            <w:pPr>
              <w:spacing w:after="0"/>
              <w:rPr>
                <w:rFonts w:ascii="Arial" w:eastAsia="Times New Roman" w:hAnsi="Arial" w:cs="Arial"/>
                <w:color w:val="000000"/>
                <w:szCs w:val="22"/>
                <w:highlight w:val="magenta"/>
                <w:lang w:eastAsia="en-GB"/>
              </w:rPr>
            </w:pPr>
            <w:r w:rsidRPr="0003021B">
              <w:rPr>
                <w:rFonts w:ascii="Arial" w:eastAsia="Times New Roman" w:hAnsi="Arial" w:cs="Arial"/>
                <w:color w:val="000000"/>
                <w:szCs w:val="22"/>
                <w:lang w:eastAsia="en-GB"/>
              </w:rPr>
              <w:t xml:space="preserve">In-house and external solicitors (Pinsent Masons and DAC </w:t>
            </w:r>
            <w:proofErr w:type="spellStart"/>
            <w:r w:rsidRPr="0003021B">
              <w:rPr>
                <w:rFonts w:ascii="Arial" w:eastAsia="Times New Roman" w:hAnsi="Arial" w:cs="Arial"/>
                <w:color w:val="000000"/>
                <w:szCs w:val="22"/>
                <w:lang w:eastAsia="en-GB"/>
              </w:rPr>
              <w:t>Beachcroft</w:t>
            </w:r>
            <w:proofErr w:type="spellEnd"/>
            <w:r w:rsidRPr="0003021B">
              <w:rPr>
                <w:rFonts w:ascii="Arial" w:eastAsia="Times New Roman" w:hAnsi="Arial" w:cs="Arial"/>
                <w:color w:val="000000"/>
                <w:szCs w:val="22"/>
                <w:lang w:eastAsia="en-GB"/>
              </w:rPr>
              <w:t>) used for investment property</w:t>
            </w:r>
            <w:r w:rsidR="006A5631">
              <w:rPr>
                <w:rFonts w:ascii="Arial" w:eastAsia="Times New Roman" w:hAnsi="Arial" w:cs="Arial"/>
                <w:color w:val="000000"/>
                <w:szCs w:val="22"/>
                <w:lang w:eastAsia="en-GB"/>
              </w:rPr>
              <w:t>,</w:t>
            </w:r>
            <w:r>
              <w:rPr>
                <w:rFonts w:ascii="Arial" w:eastAsia="Times New Roman" w:hAnsi="Arial" w:cs="Arial"/>
                <w:color w:val="000000"/>
                <w:szCs w:val="22"/>
                <w:lang w:eastAsia="en-GB"/>
              </w:rPr>
              <w:t xml:space="preserve"> other Fund</w:t>
            </w:r>
            <w:r w:rsidRPr="0003021B">
              <w:rPr>
                <w:rFonts w:ascii="Arial" w:eastAsia="Times New Roman" w:hAnsi="Arial" w:cs="Arial"/>
                <w:color w:val="000000"/>
                <w:szCs w:val="22"/>
                <w:lang w:eastAsia="en-GB"/>
              </w:rPr>
              <w:t xml:space="preserve"> legal matters and for review of other contracts and tender bids.</w:t>
            </w:r>
          </w:p>
        </w:tc>
      </w:tr>
      <w:tr w:rsidR="00E85B06" w:rsidTr="003C457D">
        <w:trPr>
          <w:trHeight w:val="300"/>
        </w:trPr>
        <w:tc>
          <w:tcPr>
            <w:tcW w:w="1062" w:type="pct"/>
          </w:tcPr>
          <w:p w:rsidR="004C64C7"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lastRenderedPageBreak/>
              <w:t xml:space="preserve">Although the public sector interpretation of IAS1 means that unless services are being transferred out of the public sector then the financial statements should be prepared on a going concern basis, management is still required to consider whether there are any material uncertainties that cast doubt on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 xml:space="preserve">ouncil’s ability to continue as a business. </w:t>
            </w:r>
          </w:p>
          <w:p w:rsidR="008C4481"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B809F9" w:rsidP="004C64C7">
            <w:pPr>
              <w:pStyle w:val="ListParagraph"/>
              <w:numPr>
                <w:ilvl w:val="0"/>
                <w:numId w:val="37"/>
              </w:numPr>
              <w:autoSpaceDE w:val="0"/>
              <w:autoSpaceDN w:val="0"/>
              <w:adjustRightInd w:val="0"/>
              <w:rPr>
                <w:rFonts w:ascii="Arial" w:hAnsi="Arial" w:cs="Arial"/>
                <w:color w:val="000000"/>
                <w:sz w:val="22"/>
                <w:szCs w:val="22"/>
              </w:rPr>
            </w:pPr>
            <w:r w:rsidRPr="00585400">
              <w:rPr>
                <w:rFonts w:ascii="Arial" w:hAnsi="Arial" w:cs="Arial"/>
                <w:color w:val="000000"/>
                <w:sz w:val="22"/>
                <w:szCs w:val="22"/>
              </w:rPr>
              <w:t xml:space="preserve">What is the process for undertaking a rigorous assessment of going concern? </w:t>
            </w:r>
          </w:p>
          <w:p w:rsidR="004C64C7" w:rsidRPr="00585400" w:rsidRDefault="00B809F9" w:rsidP="004C64C7">
            <w:pPr>
              <w:pStyle w:val="ListParagraph"/>
              <w:numPr>
                <w:ilvl w:val="0"/>
                <w:numId w:val="37"/>
              </w:numPr>
              <w:autoSpaceDE w:val="0"/>
              <w:autoSpaceDN w:val="0"/>
              <w:adjustRightInd w:val="0"/>
              <w:rPr>
                <w:rFonts w:ascii="Arial" w:hAnsi="Arial" w:cs="Arial"/>
                <w:color w:val="000000"/>
                <w:sz w:val="22"/>
                <w:szCs w:val="22"/>
              </w:rPr>
            </w:pPr>
            <w:r w:rsidRPr="00585400">
              <w:rPr>
                <w:rFonts w:ascii="Arial" w:hAnsi="Arial" w:cs="Arial"/>
                <w:color w:val="000000"/>
                <w:sz w:val="22"/>
                <w:szCs w:val="22"/>
              </w:rPr>
              <w:t xml:space="preserve">Is the process carried out proportionate in nature and depth to the level of financial risk and complexity of the organisation and its operations? </w:t>
            </w:r>
          </w:p>
          <w:p w:rsidR="004C64C7" w:rsidRPr="00585400" w:rsidRDefault="00B809F9" w:rsidP="004C64C7">
            <w:pPr>
              <w:pStyle w:val="ListParagraph"/>
              <w:numPr>
                <w:ilvl w:val="0"/>
                <w:numId w:val="37"/>
              </w:numPr>
              <w:autoSpaceDE w:val="0"/>
              <w:autoSpaceDN w:val="0"/>
              <w:adjustRightInd w:val="0"/>
              <w:rPr>
                <w:rFonts w:ascii="Arial" w:eastAsia="Times New Roman" w:hAnsi="Arial" w:cs="Arial"/>
                <w:color w:val="000000"/>
                <w:sz w:val="22"/>
                <w:szCs w:val="22"/>
              </w:rPr>
            </w:pPr>
            <w:r w:rsidRPr="00585400">
              <w:rPr>
                <w:rFonts w:ascii="Arial" w:hAnsi="Arial" w:cs="Arial"/>
                <w:color w:val="000000"/>
                <w:sz w:val="22"/>
                <w:szCs w:val="22"/>
              </w:rPr>
              <w:t xml:space="preserve">How will you ensure that all available information is considered when concluding the organisation is a going concern at the date the financial statements are approved? </w:t>
            </w:r>
          </w:p>
          <w:p w:rsidR="004C64C7" w:rsidRPr="008C4481" w:rsidRDefault="00B809F9" w:rsidP="00981A5B">
            <w:pPr>
              <w:pStyle w:val="ListParagraph"/>
              <w:numPr>
                <w:ilvl w:val="0"/>
                <w:numId w:val="37"/>
              </w:numPr>
              <w:autoSpaceDE w:val="0"/>
              <w:autoSpaceDN w:val="0"/>
              <w:adjustRightInd w:val="0"/>
              <w:rPr>
                <w:rFonts w:ascii="Arial" w:eastAsia="Times New Roman" w:hAnsi="Arial" w:cs="Arial"/>
                <w:color w:val="000000"/>
                <w:szCs w:val="22"/>
              </w:rPr>
            </w:pPr>
            <w:r w:rsidRPr="008C4481">
              <w:rPr>
                <w:rFonts w:ascii="Arial" w:eastAsia="Times New Roman" w:hAnsi="Arial" w:cs="Arial"/>
                <w:color w:val="000000"/>
                <w:sz w:val="22"/>
                <w:szCs w:val="22"/>
              </w:rPr>
              <w:t>Has the management team carried out an assessment of the going concern basis for preparing the financial statements and what was the outcome of that assessment?</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214810" w:rsidRDefault="00B809F9" w:rsidP="004C64C7">
            <w:pPr>
              <w:spacing w:after="0"/>
              <w:rPr>
                <w:rFonts w:ascii="Arial" w:hAnsi="Arial" w:cs="Arial"/>
                <w:color w:val="000000"/>
                <w:szCs w:val="22"/>
                <w:lang w:eastAsia="en-GB"/>
              </w:rPr>
            </w:pPr>
            <w:r w:rsidRPr="00214810">
              <w:rPr>
                <w:rFonts w:ascii="Arial" w:hAnsi="Arial" w:cs="Arial"/>
                <w:color w:val="000000"/>
                <w:szCs w:val="22"/>
                <w:lang w:eastAsia="en-GB"/>
              </w:rPr>
              <w:t>The provisions in the CIPFA Code of Practice on Local Authority Accounting on the going concern accounting requirements reflect the economic and statutory environment in which local authorities operate. These</w:t>
            </w:r>
            <w:r w:rsidRPr="00214810">
              <w:rPr>
                <w:rFonts w:ascii="Arial" w:hAnsi="Arial" w:cs="Arial"/>
                <w:szCs w:val="22"/>
              </w:rPr>
              <w:t xml:space="preserve"> </w:t>
            </w:r>
            <w:r w:rsidRPr="00214810">
              <w:rPr>
                <w:rFonts w:ascii="Arial" w:hAnsi="Arial" w:cs="Arial"/>
                <w:color w:val="000000"/>
                <w:szCs w:val="22"/>
                <w:lang w:eastAsia="en-GB"/>
              </w:rPr>
              <w:t>provisions confirm that, as authorities cannot be created or dissolved without statutory prescription, it would not, therefore, be appropriate for their financial statements to be prepared on anything other than a going concern basis.</w:t>
            </w:r>
          </w:p>
          <w:p w:rsidR="004C64C7" w:rsidRPr="00214810" w:rsidRDefault="008C4481" w:rsidP="004C64C7">
            <w:pPr>
              <w:spacing w:after="0"/>
              <w:rPr>
                <w:rFonts w:ascii="Arial" w:hAnsi="Arial" w:cs="Arial"/>
                <w:color w:val="000000"/>
                <w:szCs w:val="22"/>
                <w:lang w:eastAsia="en-GB"/>
              </w:rPr>
            </w:pPr>
          </w:p>
          <w:p w:rsidR="004C64C7" w:rsidRPr="00214810" w:rsidRDefault="00B809F9" w:rsidP="004C64C7">
            <w:pPr>
              <w:spacing w:after="0"/>
              <w:rPr>
                <w:rFonts w:ascii="Arial" w:hAnsi="Arial" w:cs="Arial"/>
                <w:color w:val="000000"/>
                <w:szCs w:val="22"/>
                <w:lang w:eastAsia="en-GB"/>
              </w:rPr>
            </w:pPr>
            <w:r w:rsidRPr="00214810">
              <w:rPr>
                <w:rFonts w:ascii="Arial" w:hAnsi="Arial" w:cs="Arial"/>
                <w:color w:val="000000"/>
                <w:szCs w:val="22"/>
                <w:lang w:eastAsia="en-GB"/>
              </w:rPr>
              <w:t>The council has however conducted an assessment of the going concern basis for preparing the accounts.</w:t>
            </w:r>
          </w:p>
          <w:p w:rsidR="004C64C7" w:rsidRPr="00214810" w:rsidRDefault="008C4481" w:rsidP="004C64C7">
            <w:pPr>
              <w:spacing w:after="0"/>
              <w:rPr>
                <w:rFonts w:ascii="Arial" w:hAnsi="Arial" w:cs="Arial"/>
                <w:color w:val="000000"/>
                <w:szCs w:val="22"/>
                <w:lang w:eastAsia="en-GB"/>
              </w:rPr>
            </w:pPr>
          </w:p>
          <w:p w:rsidR="004C64C7" w:rsidRPr="00214810" w:rsidRDefault="00B809F9" w:rsidP="004C64C7">
            <w:pPr>
              <w:spacing w:after="0"/>
              <w:rPr>
                <w:rFonts w:ascii="Arial" w:hAnsi="Arial" w:cs="Arial"/>
                <w:color w:val="000000"/>
                <w:szCs w:val="22"/>
                <w:lang w:eastAsia="en-GB"/>
              </w:rPr>
            </w:pPr>
            <w:r w:rsidRPr="00214810">
              <w:rPr>
                <w:rFonts w:ascii="Arial" w:hAnsi="Arial" w:cs="Arial"/>
                <w:color w:val="000000"/>
                <w:szCs w:val="22"/>
                <w:lang w:eastAsia="en-GB"/>
              </w:rPr>
              <w:t>The main factors which underpin the council's assessment of its going concern status include:</w:t>
            </w:r>
          </w:p>
          <w:p w:rsidR="004C64C7" w:rsidRPr="00214810" w:rsidRDefault="008C4481" w:rsidP="004C64C7">
            <w:pPr>
              <w:spacing w:after="0"/>
              <w:rPr>
                <w:rFonts w:ascii="Arial" w:hAnsi="Arial" w:cs="Arial"/>
                <w:color w:val="000000"/>
                <w:szCs w:val="22"/>
                <w:lang w:eastAsia="en-GB"/>
              </w:rPr>
            </w:pPr>
          </w:p>
          <w:p w:rsidR="004C64C7" w:rsidRPr="00214810" w:rsidRDefault="00B809F9" w:rsidP="004C64C7">
            <w:pPr>
              <w:spacing w:after="0"/>
              <w:rPr>
                <w:rFonts w:ascii="Arial" w:hAnsi="Arial" w:cs="Arial"/>
                <w:color w:val="000000"/>
                <w:szCs w:val="22"/>
                <w:lang w:eastAsia="en-GB"/>
              </w:rPr>
            </w:pPr>
            <w:r w:rsidRPr="00214810">
              <w:rPr>
                <w:rFonts w:ascii="Arial" w:hAnsi="Arial" w:cs="Arial"/>
                <w:color w:val="000000"/>
                <w:szCs w:val="22"/>
                <w:lang w:eastAsia="en-GB"/>
              </w:rPr>
              <w:t>- The council has set a balanced revenue budget for 2019/20;</w:t>
            </w:r>
          </w:p>
          <w:p w:rsidR="004C64C7" w:rsidRPr="00214810" w:rsidRDefault="00B809F9" w:rsidP="004C64C7">
            <w:pPr>
              <w:spacing w:after="0"/>
              <w:rPr>
                <w:rFonts w:ascii="Arial" w:hAnsi="Arial" w:cs="Arial"/>
                <w:color w:val="000000"/>
                <w:szCs w:val="22"/>
                <w:lang w:eastAsia="en-GB"/>
              </w:rPr>
            </w:pPr>
            <w:r w:rsidRPr="00214810">
              <w:rPr>
                <w:rFonts w:ascii="Arial" w:hAnsi="Arial" w:cs="Arial"/>
                <w:color w:val="000000"/>
                <w:szCs w:val="22"/>
                <w:lang w:eastAsia="en-GB"/>
              </w:rPr>
              <w:t>- The council forecasts its financial position over the medium term, currently to 2023/24, identifying relevant risks and opportunities which have been subjected to scenario stress testing;</w:t>
            </w:r>
          </w:p>
          <w:p w:rsidR="004C64C7" w:rsidRPr="00214810" w:rsidRDefault="00B809F9" w:rsidP="004C64C7">
            <w:pPr>
              <w:spacing w:after="0"/>
              <w:rPr>
                <w:rFonts w:ascii="Arial" w:hAnsi="Arial" w:cs="Arial"/>
                <w:color w:val="000000"/>
                <w:szCs w:val="22"/>
                <w:lang w:eastAsia="en-GB"/>
              </w:rPr>
            </w:pPr>
            <w:r w:rsidRPr="00214810">
              <w:rPr>
                <w:rFonts w:ascii="Arial" w:hAnsi="Arial" w:cs="Arial"/>
                <w:color w:val="000000"/>
                <w:szCs w:val="22"/>
                <w:lang w:eastAsia="en-GB"/>
              </w:rPr>
              <w:t>- The council has a strong record in bridging the gap between forecast expenditure and funding;</w:t>
            </w:r>
          </w:p>
          <w:p w:rsidR="004C64C7" w:rsidRPr="00214810" w:rsidRDefault="00B809F9" w:rsidP="004C64C7">
            <w:pPr>
              <w:spacing w:after="0"/>
              <w:rPr>
                <w:rFonts w:ascii="Arial" w:hAnsi="Arial" w:cs="Arial"/>
                <w:color w:val="000000"/>
                <w:szCs w:val="22"/>
                <w:lang w:eastAsia="en-GB"/>
              </w:rPr>
            </w:pPr>
            <w:r w:rsidRPr="00214810">
              <w:rPr>
                <w:rFonts w:ascii="Arial" w:hAnsi="Arial" w:cs="Arial"/>
                <w:color w:val="000000"/>
                <w:szCs w:val="22"/>
                <w:lang w:eastAsia="en-GB"/>
              </w:rPr>
              <w:t>- The council has a robust financial monitoring framework;</w:t>
            </w:r>
          </w:p>
          <w:p w:rsidR="004C64C7" w:rsidRPr="00214810" w:rsidRDefault="00B809F9" w:rsidP="008C4481">
            <w:pPr>
              <w:spacing w:after="0"/>
              <w:rPr>
                <w:rFonts w:ascii="Arial" w:hAnsi="Arial" w:cs="Arial"/>
                <w:color w:val="000000"/>
                <w:szCs w:val="22"/>
                <w:lang w:eastAsia="en-GB"/>
              </w:rPr>
            </w:pPr>
            <w:r w:rsidRPr="00214810">
              <w:rPr>
                <w:rFonts w:ascii="Arial" w:hAnsi="Arial" w:cs="Arial"/>
                <w:color w:val="000000"/>
                <w:szCs w:val="22"/>
                <w:lang w:eastAsia="en-GB"/>
              </w:rPr>
              <w:t>- The council is able to raise revenue through local taxation.</w:t>
            </w:r>
          </w:p>
        </w:tc>
        <w:tc>
          <w:tcPr>
            <w:tcW w:w="1969" w:type="pct"/>
          </w:tcPr>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The provisions in the CIPFA Code of Practice on Local Authority Accounting on the going concern accounting requirements reflect the economic and statutory environment in which local authorities operate. These provisions confirm that, as authorities cannot be created or dissolved without statutory prescription, it would not, therefore, be appropriate for their financial statements to be prepared on anything other than a going concern basis.</w:t>
            </w:r>
          </w:p>
          <w:p w:rsidR="004C64C7" w:rsidRPr="0003021B" w:rsidRDefault="008C4481" w:rsidP="004C64C7">
            <w:pPr>
              <w:spacing w:after="0"/>
              <w:rPr>
                <w:rFonts w:ascii="Arial" w:eastAsia="Times New Roman" w:hAnsi="Arial" w:cs="Arial"/>
                <w:color w:val="000000"/>
                <w:szCs w:val="22"/>
                <w:lang w:eastAsia="en-GB"/>
              </w:rPr>
            </w:pPr>
          </w:p>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The Funding level of the Fund gives some assurance regarding the going concern basis for the Fund.</w:t>
            </w:r>
          </w:p>
          <w:p w:rsidR="004C64C7" w:rsidRPr="0003021B" w:rsidRDefault="008C4481" w:rsidP="004C64C7">
            <w:pPr>
              <w:spacing w:after="0"/>
              <w:rPr>
                <w:rFonts w:ascii="Arial" w:eastAsia="Times New Roman" w:hAnsi="Arial" w:cs="Arial"/>
                <w:color w:val="000000"/>
                <w:szCs w:val="22"/>
                <w:lang w:eastAsia="en-GB"/>
              </w:rPr>
            </w:pPr>
          </w:p>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Cash flow is monitored by the Pension Fund committee and the Fund's advisors on a quarterly basis with particular emphasis on the bridging of contributions income and benefits payable with investment income.</w:t>
            </w:r>
          </w:p>
        </w:tc>
      </w:tr>
      <w:tr w:rsidR="00E85B06" w:rsidTr="003C457D">
        <w:trPr>
          <w:trHeight w:val="300"/>
        </w:trPr>
        <w:tc>
          <w:tcPr>
            <w:tcW w:w="1062" w:type="pct"/>
          </w:tcPr>
          <w:p w:rsidR="004C64C7" w:rsidRPr="002F18A8" w:rsidRDefault="00B809F9" w:rsidP="004C64C7">
            <w:pPr>
              <w:autoSpaceDE w:val="0"/>
              <w:autoSpaceDN w:val="0"/>
              <w:adjustRightInd w:val="0"/>
              <w:spacing w:after="0"/>
              <w:rPr>
                <w:rFonts w:ascii="Arial" w:eastAsia="Times New Roman" w:hAnsi="Arial" w:cs="Arial"/>
                <w:color w:val="000000"/>
                <w:szCs w:val="22"/>
                <w:lang w:eastAsia="en-GB"/>
              </w:rPr>
            </w:pPr>
            <w:r w:rsidRPr="002F18A8">
              <w:rPr>
                <w:rFonts w:ascii="Arial" w:eastAsia="Times New Roman" w:hAnsi="Arial" w:cs="Arial"/>
                <w:color w:val="000000"/>
                <w:szCs w:val="22"/>
                <w:lang w:eastAsia="en-GB"/>
              </w:rPr>
              <w:lastRenderedPageBreak/>
              <w:t>Can you provide details of other advisors consulted during the year and the issue on which they were consulted?</w:t>
            </w:r>
          </w:p>
          <w:p w:rsidR="004C64C7" w:rsidRPr="003D4279" w:rsidRDefault="008C4481" w:rsidP="004C64C7">
            <w:pPr>
              <w:autoSpaceDE w:val="0"/>
              <w:autoSpaceDN w:val="0"/>
              <w:adjustRightInd w:val="0"/>
              <w:spacing w:after="0"/>
              <w:rPr>
                <w:rFonts w:ascii="Arial" w:eastAsia="Times New Roman" w:hAnsi="Arial" w:cs="Arial"/>
                <w:color w:val="000000"/>
                <w:szCs w:val="22"/>
                <w:highlight w:val="magenta"/>
                <w:lang w:eastAsia="en-GB"/>
              </w:rPr>
            </w:pPr>
          </w:p>
          <w:p w:rsidR="004C64C7" w:rsidRPr="003D4279" w:rsidRDefault="008C4481" w:rsidP="004C64C7">
            <w:pPr>
              <w:autoSpaceDE w:val="0"/>
              <w:autoSpaceDN w:val="0"/>
              <w:adjustRightInd w:val="0"/>
              <w:spacing w:after="0"/>
              <w:rPr>
                <w:rFonts w:ascii="Arial" w:eastAsia="Times New Roman" w:hAnsi="Arial" w:cs="Arial"/>
                <w:color w:val="000000"/>
                <w:szCs w:val="22"/>
                <w:highlight w:val="magenta"/>
                <w:lang w:eastAsia="en-GB"/>
              </w:rPr>
            </w:pPr>
          </w:p>
          <w:p w:rsidR="004C64C7" w:rsidRPr="003D4279" w:rsidRDefault="008C4481" w:rsidP="004C64C7">
            <w:pPr>
              <w:autoSpaceDE w:val="0"/>
              <w:autoSpaceDN w:val="0"/>
              <w:adjustRightInd w:val="0"/>
              <w:spacing w:after="0"/>
              <w:rPr>
                <w:rFonts w:ascii="Arial" w:eastAsia="Times New Roman" w:hAnsi="Arial" w:cs="Arial"/>
                <w:color w:val="000000"/>
                <w:szCs w:val="22"/>
                <w:highlight w:val="magenta"/>
                <w:lang w:eastAsia="en-GB"/>
              </w:rPr>
            </w:pPr>
          </w:p>
        </w:tc>
        <w:tc>
          <w:tcPr>
            <w:tcW w:w="1969" w:type="pct"/>
          </w:tcPr>
          <w:p w:rsidR="004C64C7" w:rsidRPr="003D4279" w:rsidRDefault="00B809F9" w:rsidP="004C64C7">
            <w:pPr>
              <w:spacing w:after="0"/>
              <w:rPr>
                <w:rFonts w:ascii="Arial" w:hAnsi="Arial" w:cs="Arial"/>
                <w:color w:val="000000"/>
                <w:szCs w:val="22"/>
                <w:highlight w:val="magenta"/>
                <w:lang w:eastAsia="en-GB"/>
              </w:rPr>
            </w:pPr>
            <w:r w:rsidRPr="00214810">
              <w:rPr>
                <w:rFonts w:ascii="Arial" w:hAnsi="Arial" w:cs="Arial"/>
                <w:color w:val="000000"/>
                <w:szCs w:val="22"/>
                <w:lang w:eastAsia="en-GB"/>
              </w:rPr>
              <w:t>As a large and complex organisation, the council uses a wide range of internal and external advisors to support the proper discharge of its responsibilities.</w:t>
            </w:r>
          </w:p>
        </w:tc>
        <w:tc>
          <w:tcPr>
            <w:tcW w:w="1969" w:type="pct"/>
          </w:tcPr>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Mercer – general actuarial enquiries, triennial valuation, International Accounting Standards (IAS) 19 assumptions and accounting schedules.</w:t>
            </w:r>
          </w:p>
          <w:p w:rsidR="004C64C7" w:rsidRPr="003D4279" w:rsidRDefault="008C4481" w:rsidP="004C64C7">
            <w:pPr>
              <w:spacing w:after="0"/>
              <w:rPr>
                <w:rFonts w:ascii="Arial" w:eastAsia="Times New Roman" w:hAnsi="Arial" w:cs="Arial"/>
                <w:color w:val="000000"/>
                <w:szCs w:val="22"/>
                <w:highlight w:val="magenta"/>
                <w:lang w:eastAsia="en-GB"/>
              </w:rPr>
            </w:pPr>
          </w:p>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KPMG – tax issues.</w:t>
            </w:r>
          </w:p>
          <w:p w:rsidR="004C64C7" w:rsidRPr="0003021B" w:rsidRDefault="008C4481" w:rsidP="004C64C7">
            <w:pPr>
              <w:spacing w:after="0"/>
              <w:rPr>
                <w:rFonts w:ascii="Arial" w:eastAsia="Times New Roman" w:hAnsi="Arial" w:cs="Arial"/>
                <w:color w:val="000000"/>
                <w:szCs w:val="22"/>
                <w:lang w:eastAsia="en-GB"/>
              </w:rPr>
            </w:pPr>
          </w:p>
          <w:p w:rsidR="004C64C7" w:rsidRPr="0003021B" w:rsidRDefault="00B809F9" w:rsidP="004C64C7">
            <w:pPr>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Independent advisors to the Fund – investment panel throughout the year.</w:t>
            </w:r>
          </w:p>
          <w:p w:rsidR="004C64C7" w:rsidRPr="003D4279" w:rsidRDefault="008C4481" w:rsidP="004C64C7">
            <w:pPr>
              <w:spacing w:after="0"/>
              <w:rPr>
                <w:rFonts w:ascii="Arial" w:eastAsia="Times New Roman" w:hAnsi="Arial" w:cs="Arial"/>
                <w:color w:val="000000"/>
                <w:szCs w:val="22"/>
                <w:highlight w:val="magenta"/>
                <w:lang w:eastAsia="en-GB"/>
              </w:rPr>
            </w:pPr>
          </w:p>
        </w:tc>
      </w:tr>
      <w:tr w:rsidR="00E85B06" w:rsidTr="003C457D">
        <w:trPr>
          <w:trHeight w:val="3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 xml:space="preserve">Have any of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 xml:space="preserve">ouncil’s service providers reported any items of fraud, non-compliance with laws and regulations or uncorrected misstatements which would affect the financial statements of the </w:t>
            </w:r>
            <w:r>
              <w:rPr>
                <w:rFonts w:ascii="Arial" w:eastAsia="Times New Roman" w:hAnsi="Arial" w:cs="Arial"/>
                <w:color w:val="000000"/>
                <w:szCs w:val="22"/>
                <w:lang w:eastAsia="en-GB"/>
              </w:rPr>
              <w:t>c</w:t>
            </w:r>
            <w:r w:rsidRPr="00585400">
              <w:rPr>
                <w:rFonts w:ascii="Arial" w:eastAsia="Times New Roman" w:hAnsi="Arial" w:cs="Arial"/>
                <w:color w:val="000000"/>
                <w:szCs w:val="22"/>
                <w:lang w:eastAsia="en-GB"/>
              </w:rPr>
              <w:t>ouncil?</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10496A" w:rsidRDefault="00B809F9" w:rsidP="004C64C7">
            <w:pPr>
              <w:spacing w:after="0"/>
              <w:rPr>
                <w:rFonts w:ascii="Arial" w:hAnsi="Arial" w:cs="Arial"/>
                <w:color w:val="000000"/>
                <w:szCs w:val="22"/>
                <w:highlight w:val="yellow"/>
                <w:lang w:eastAsia="en-GB"/>
              </w:rPr>
            </w:pPr>
            <w:r w:rsidRPr="00214810">
              <w:rPr>
                <w:rFonts w:ascii="Arial" w:hAnsi="Arial" w:cs="Arial"/>
                <w:szCs w:val="22"/>
                <w:lang w:eastAsia="en-GB"/>
              </w:rPr>
              <w:t>At this point neither the Internal Audit Service nor the Procurement Service are aware of any items of fraud, non-compliance with laws and regulations or uncorrected misstatements which would affect the council's financial statements.</w:t>
            </w:r>
          </w:p>
        </w:tc>
        <w:tc>
          <w:tcPr>
            <w:tcW w:w="1969" w:type="pct"/>
          </w:tcPr>
          <w:p w:rsidR="004C64C7" w:rsidRPr="003D4279" w:rsidRDefault="00B809F9" w:rsidP="004C64C7">
            <w:pPr>
              <w:spacing w:after="0"/>
              <w:rPr>
                <w:rFonts w:ascii="Arial" w:eastAsia="Times New Roman" w:hAnsi="Arial" w:cs="Arial"/>
                <w:color w:val="000000"/>
                <w:szCs w:val="22"/>
                <w:highlight w:val="magenta"/>
                <w:lang w:eastAsia="en-GB"/>
              </w:rPr>
            </w:pPr>
            <w:r w:rsidRPr="0003021B">
              <w:rPr>
                <w:rFonts w:ascii="Arial" w:hAnsi="Arial" w:cs="Arial"/>
                <w:szCs w:val="22"/>
                <w:lang w:eastAsia="en-GB"/>
              </w:rPr>
              <w:t>Neither the internal audit service nor the procurement service are aware of any items of fraud, non-compliance with laws and regulations or uncorrected misstatements which would affect the Pension Fund's financial statements.</w:t>
            </w:r>
          </w:p>
        </w:tc>
      </w:tr>
      <w:tr w:rsidR="00E85B06" w:rsidTr="003C457D">
        <w:trPr>
          <w:trHeight w:val="600"/>
        </w:trPr>
        <w:tc>
          <w:tcPr>
            <w:tcW w:w="1062" w:type="pct"/>
          </w:tcPr>
          <w:p w:rsidR="004C64C7" w:rsidRPr="00585400" w:rsidRDefault="00B809F9" w:rsidP="004C64C7">
            <w:pPr>
              <w:autoSpaceDE w:val="0"/>
              <w:autoSpaceDN w:val="0"/>
              <w:adjustRightInd w:val="0"/>
              <w:spacing w:after="0"/>
              <w:rPr>
                <w:rFonts w:ascii="Arial" w:eastAsia="Times New Roman" w:hAnsi="Arial" w:cs="Arial"/>
                <w:color w:val="000000"/>
                <w:szCs w:val="22"/>
                <w:lang w:eastAsia="en-GB"/>
              </w:rPr>
            </w:pPr>
            <w:r w:rsidRPr="00585400">
              <w:rPr>
                <w:rFonts w:ascii="Arial" w:eastAsia="Times New Roman" w:hAnsi="Arial" w:cs="Arial"/>
                <w:color w:val="000000"/>
                <w:szCs w:val="22"/>
                <w:lang w:eastAsia="en-GB"/>
              </w:rPr>
              <w:t>Have any reports been made under the Bribery Act?</w:t>
            </w: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585400" w:rsidRDefault="008C4481" w:rsidP="004C64C7">
            <w:pPr>
              <w:autoSpaceDE w:val="0"/>
              <w:autoSpaceDN w:val="0"/>
              <w:adjustRightInd w:val="0"/>
              <w:spacing w:after="0"/>
              <w:rPr>
                <w:rFonts w:ascii="Arial" w:eastAsia="Times New Roman" w:hAnsi="Arial" w:cs="Arial"/>
                <w:color w:val="000000"/>
                <w:szCs w:val="22"/>
                <w:lang w:eastAsia="en-GB"/>
              </w:rPr>
            </w:pPr>
          </w:p>
        </w:tc>
        <w:tc>
          <w:tcPr>
            <w:tcW w:w="1969" w:type="pct"/>
          </w:tcPr>
          <w:p w:rsidR="004C64C7" w:rsidRPr="0010496A" w:rsidRDefault="00B809F9" w:rsidP="004C64C7">
            <w:pPr>
              <w:spacing w:after="0"/>
              <w:rPr>
                <w:rFonts w:ascii="Arial" w:hAnsi="Arial" w:cs="Arial"/>
                <w:color w:val="000000"/>
                <w:szCs w:val="22"/>
                <w:highlight w:val="yellow"/>
                <w:lang w:eastAsia="en-GB"/>
              </w:rPr>
            </w:pPr>
            <w:r w:rsidRPr="00214810">
              <w:rPr>
                <w:rFonts w:ascii="Arial" w:eastAsia="Times New Roman" w:hAnsi="Arial" w:cs="Arial"/>
                <w:color w:val="000000"/>
                <w:szCs w:val="22"/>
                <w:lang w:eastAsia="en-GB"/>
              </w:rPr>
              <w:t>No.</w:t>
            </w:r>
          </w:p>
        </w:tc>
        <w:tc>
          <w:tcPr>
            <w:tcW w:w="1969" w:type="pct"/>
          </w:tcPr>
          <w:p w:rsidR="004C64C7" w:rsidRPr="0003021B" w:rsidRDefault="00B809F9" w:rsidP="004C64C7">
            <w:pPr>
              <w:autoSpaceDE w:val="0"/>
              <w:autoSpaceDN w:val="0"/>
              <w:adjustRightInd w:val="0"/>
              <w:spacing w:after="0"/>
              <w:rPr>
                <w:rFonts w:ascii="Arial" w:eastAsia="Times New Roman" w:hAnsi="Arial" w:cs="Arial"/>
                <w:color w:val="000000"/>
                <w:szCs w:val="22"/>
                <w:lang w:eastAsia="en-GB"/>
              </w:rPr>
            </w:pPr>
            <w:r w:rsidRPr="0003021B">
              <w:rPr>
                <w:rFonts w:ascii="Arial" w:eastAsia="Times New Roman" w:hAnsi="Arial" w:cs="Arial"/>
                <w:color w:val="000000"/>
                <w:szCs w:val="22"/>
                <w:lang w:eastAsia="en-GB"/>
              </w:rPr>
              <w:t xml:space="preserve">No. </w:t>
            </w:r>
          </w:p>
          <w:p w:rsidR="004C64C7" w:rsidRPr="0003021B" w:rsidRDefault="008C4481" w:rsidP="004C64C7">
            <w:pPr>
              <w:autoSpaceDE w:val="0"/>
              <w:autoSpaceDN w:val="0"/>
              <w:adjustRightInd w:val="0"/>
              <w:spacing w:after="0"/>
              <w:rPr>
                <w:rFonts w:ascii="Arial" w:eastAsia="Times New Roman" w:hAnsi="Arial" w:cs="Arial"/>
                <w:color w:val="000000"/>
                <w:szCs w:val="22"/>
                <w:lang w:eastAsia="en-GB"/>
              </w:rPr>
            </w:pPr>
          </w:p>
          <w:p w:rsidR="004C64C7" w:rsidRPr="0010496A" w:rsidRDefault="008C4481" w:rsidP="004C64C7">
            <w:pPr>
              <w:spacing w:after="0"/>
              <w:rPr>
                <w:rFonts w:ascii="Arial" w:eastAsia="Times New Roman" w:hAnsi="Arial" w:cs="Arial"/>
                <w:color w:val="000000"/>
                <w:szCs w:val="22"/>
                <w:highlight w:val="yellow"/>
                <w:lang w:eastAsia="en-GB"/>
              </w:rPr>
            </w:pPr>
          </w:p>
        </w:tc>
      </w:tr>
    </w:tbl>
    <w:p w:rsidR="008E4106" w:rsidRPr="005C131D" w:rsidRDefault="008C4481" w:rsidP="00E94E92">
      <w:pPr>
        <w:rPr>
          <w:rFonts w:ascii="Calibri" w:hAnsi="Calibri" w:cs="Calibri"/>
          <w:b/>
          <w:color w:val="000000"/>
          <w:lang w:eastAsia="en-GB"/>
        </w:rPr>
      </w:pPr>
    </w:p>
    <w:sectPr w:rsidR="008E4106" w:rsidRPr="005C131D" w:rsidSect="003C457D">
      <w:headerReference w:type="default" r:id="rId8"/>
      <w:footerReference w:type="even" r:id="rId9"/>
      <w:footerReference w:type="default" r:id="rId10"/>
      <w:headerReference w:type="first" r:id="rId11"/>
      <w:footerReference w:type="first" r:id="rId12"/>
      <w:pgSz w:w="16838" w:h="11906" w:orient="landscape" w:code="9"/>
      <w:pgMar w:top="720" w:right="720" w:bottom="720" w:left="72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F6" w:rsidRDefault="00B809F9">
      <w:pPr>
        <w:spacing w:after="0"/>
      </w:pPr>
      <w:r>
        <w:separator/>
      </w:r>
    </w:p>
  </w:endnote>
  <w:endnote w:type="continuationSeparator" w:id="0">
    <w:p w:rsidR="00E362F6" w:rsidRDefault="00B80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3B" w:rsidRDefault="00B809F9">
    <w:pPr>
      <w:pStyle w:val="Footer"/>
      <w:framePr w:wrap="around" w:vAnchor="text" w:hAnchor="margin" w:xAlign="right" w:y="1"/>
    </w:pPr>
    <w:r>
      <w:fldChar w:fldCharType="begin"/>
    </w:r>
    <w:r>
      <w:instrText xml:space="preserve">PAGE  </w:instrText>
    </w:r>
    <w:r>
      <w:fldChar w:fldCharType="end"/>
    </w:r>
  </w:p>
  <w:p w:rsidR="00D1633B" w:rsidRDefault="008C4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3B" w:rsidRDefault="00B809F9" w:rsidP="00CE09C5">
    <w:pPr>
      <w:pStyle w:val="Footer"/>
      <w:framePr w:w="851" w:wrap="around" w:vAnchor="text" w:hAnchor="margin" w:xAlign="right" w:y="1" w:anchorLock="1"/>
      <w:shd w:val="clear" w:color="FFFFFF" w:fill="auto"/>
      <w:jc w:val="right"/>
    </w:pPr>
    <w:r>
      <w:fldChar w:fldCharType="begin"/>
    </w:r>
    <w:r>
      <w:instrText xml:space="preserve"> PAGE \* MERGEFORMAT </w:instrText>
    </w:r>
    <w:r>
      <w:fldChar w:fldCharType="separate"/>
    </w:r>
    <w:r w:rsidR="008C4481">
      <w:rPr>
        <w:noProof/>
      </w:rPr>
      <w:t>8</w:t>
    </w:r>
    <w:r>
      <w:rPr>
        <w:noProof/>
      </w:rPr>
      <w:fldChar w:fldCharType="end"/>
    </w:r>
  </w:p>
  <w:p w:rsidR="00D1633B" w:rsidRDefault="008C4481" w:rsidP="00CE0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29" w:rsidRDefault="008C4481" w:rsidP="00082129">
    <w:pPr>
      <w:pStyle w:val="LetterFooter"/>
      <w:framePr w:hSpace="180" w:wrap="around" w:vAnchor="page" w:hAnchor="text" w:y="15308"/>
      <w:suppressOverlap/>
      <w:rPr>
        <w:sz w:val="9"/>
        <w:szCs w:val="12"/>
      </w:rPr>
    </w:pPr>
  </w:p>
  <w:p w:rsidR="00E417DB" w:rsidRDefault="008C4481" w:rsidP="00082129">
    <w:pPr>
      <w:pStyle w:val="Footer"/>
    </w:pPr>
  </w:p>
  <w:p w:rsidR="00D1633B" w:rsidRDefault="00B809F9">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F6" w:rsidRDefault="00B809F9">
      <w:pPr>
        <w:spacing w:after="0"/>
      </w:pPr>
      <w:r>
        <w:separator/>
      </w:r>
    </w:p>
  </w:footnote>
  <w:footnote w:type="continuationSeparator" w:id="0">
    <w:p w:rsidR="00E362F6" w:rsidRDefault="00B809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A" w:rsidRDefault="00B809F9">
    <w:pPr>
      <w:pStyle w:val="Header"/>
    </w:pP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c6bd47c19b7c103f3ff19edf"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1CDA" w:rsidRPr="00121CDA" w:rsidRDefault="008C4481" w:rsidP="00121CDA">
                          <w:pPr>
                            <w:spacing w:after="0"/>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6bd47c19b7c103f3ff19edf" o:spid="_x0000_s2049" type="#_x0000_t202" alt="{&quot;HashCode&quot;:-2058638944,&quot;Height&quot;:841.0,&quot;Width&quot;:595.0,&quot;Placement&quot;:&quot;Header&quot;,&quot;Index&quot;:&quot;Primary&quot;,&quot;Section&quot;:1,&quot;Top&quot;:0.0,&quot;Left&quot;:0.0}" style="width:595.3pt;height:21pt;margin-top:15pt;margin-left:0;mso-position-horizontal-relative:page;mso-position-vertical-relative:page;mso-wrap-distance-bottom:0;mso-wrap-distance-left:9pt;mso-wrap-distance-right:9pt;mso-wrap-distance-top:0;mso-wrap-style:square;position:absolute;visibility:visible;v-text-anchor:top;z-index:251659264" o:allowincell="f" filled="f" stroked="f" strokeweight="0.5pt">
              <v:textbox inset=",0,20pt,0">
                <w:txbxContent>
                  <w:p w:rsidR="00121CDA" w:rsidRPr="00121CDA" w:rsidP="00121CDA">
                    <w:pPr>
                      <w:spacing w:after="0"/>
                      <w:jc w:val="right"/>
                      <w:rPr>
                        <w:rFonts w:ascii="Arial" w:hAnsi="Arial" w:cs="Arial"/>
                        <w:color w:val="000000"/>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A" w:rsidRDefault="00B809F9">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b7b64a0087789f35635de0c4"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1CDA" w:rsidRPr="00121CDA" w:rsidRDefault="008C4481" w:rsidP="00121CDA">
                          <w:pPr>
                            <w:spacing w:after="0"/>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7b64a0087789f35635de0c4" o:spid="_x0000_s2050" type="#_x0000_t202" alt="{&quot;HashCode&quot;:-2058638944,&quot;Height&quot;:841.0,&quot;Width&quot;:595.0,&quot;Placement&quot;:&quot;Header&quot;,&quot;Index&quot;:&quot;FirstPage&quot;,&quot;Section&quot;:1,&quot;Top&quot;:0.0,&quot;Left&quot;:0.0}" style="width:595.3pt;height:21pt;margin-top:15pt;margin-left:0;mso-position-horizontal-relative:page;mso-position-vertical-relative:page;mso-wrap-distance-bottom:0;mso-wrap-distance-left:9pt;mso-wrap-distance-right:9pt;mso-wrap-distance-top:0;mso-wrap-style:square;position:absolute;visibility:visible;v-text-anchor:top;z-index:251661312" o:allowincell="f" filled="f" stroked="f" strokeweight="0.5pt">
              <v:textbox inset=",0,20pt,0">
                <w:txbxContent>
                  <w:p w:rsidR="00121CDA" w:rsidRPr="00121CDA" w:rsidP="00121CDA">
                    <w:pPr>
                      <w:spacing w:after="0"/>
                      <w:jc w:val="right"/>
                      <w:rPr>
                        <w:rFonts w:ascii="Arial" w:hAnsi="Arial" w:cs="Arial"/>
                        <w:color w:val="000000"/>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68D7B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396F37"/>
    <w:multiLevelType w:val="multilevel"/>
    <w:tmpl w:val="4B4AC8FC"/>
    <w:lvl w:ilvl="0">
      <w:start w:val="1"/>
      <w:numFmt w:val="upperLetter"/>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DF3F1F"/>
    <w:multiLevelType w:val="hybridMultilevel"/>
    <w:tmpl w:val="2CC02776"/>
    <w:lvl w:ilvl="0" w:tplc="EDAC7D1E">
      <w:start w:val="1"/>
      <w:numFmt w:val="bullet"/>
      <w:lvlText w:val="-"/>
      <w:lvlJc w:val="left"/>
      <w:pPr>
        <w:tabs>
          <w:tab w:val="num" w:pos="814"/>
        </w:tabs>
        <w:ind w:left="680" w:hanging="226"/>
      </w:pPr>
      <w:rPr>
        <w:rFonts w:ascii="Garamond" w:hAnsi="Garamond" w:hint="default"/>
      </w:rPr>
    </w:lvl>
    <w:lvl w:ilvl="1" w:tplc="48704500">
      <w:start w:val="1"/>
      <w:numFmt w:val="decimal"/>
      <w:lvlText w:val="%2."/>
      <w:lvlJc w:val="left"/>
      <w:pPr>
        <w:tabs>
          <w:tab w:val="num" w:pos="720"/>
        </w:tabs>
        <w:ind w:left="720" w:hanging="360"/>
      </w:pPr>
    </w:lvl>
    <w:lvl w:ilvl="2" w:tplc="8684F020" w:tentative="1">
      <w:start w:val="1"/>
      <w:numFmt w:val="bullet"/>
      <w:lvlText w:val=""/>
      <w:lvlJc w:val="left"/>
      <w:pPr>
        <w:tabs>
          <w:tab w:val="num" w:pos="4088"/>
        </w:tabs>
        <w:ind w:left="4088" w:hanging="360"/>
      </w:pPr>
      <w:rPr>
        <w:rFonts w:ascii="Wingdings" w:hAnsi="Wingdings" w:hint="default"/>
      </w:rPr>
    </w:lvl>
    <w:lvl w:ilvl="3" w:tplc="9F3C6462" w:tentative="1">
      <w:start w:val="1"/>
      <w:numFmt w:val="bullet"/>
      <w:lvlText w:val=""/>
      <w:lvlJc w:val="left"/>
      <w:pPr>
        <w:tabs>
          <w:tab w:val="num" w:pos="4808"/>
        </w:tabs>
        <w:ind w:left="4808" w:hanging="360"/>
      </w:pPr>
      <w:rPr>
        <w:rFonts w:ascii="Symbol" w:hAnsi="Symbol" w:hint="default"/>
      </w:rPr>
    </w:lvl>
    <w:lvl w:ilvl="4" w:tplc="7CBEE1F8" w:tentative="1">
      <w:start w:val="1"/>
      <w:numFmt w:val="bullet"/>
      <w:lvlText w:val="o"/>
      <w:lvlJc w:val="left"/>
      <w:pPr>
        <w:tabs>
          <w:tab w:val="num" w:pos="5528"/>
        </w:tabs>
        <w:ind w:left="5528" w:hanging="360"/>
      </w:pPr>
      <w:rPr>
        <w:rFonts w:ascii="Courier New" w:hAnsi="Courier New" w:hint="default"/>
      </w:rPr>
    </w:lvl>
    <w:lvl w:ilvl="5" w:tplc="717070FA" w:tentative="1">
      <w:start w:val="1"/>
      <w:numFmt w:val="bullet"/>
      <w:lvlText w:val=""/>
      <w:lvlJc w:val="left"/>
      <w:pPr>
        <w:tabs>
          <w:tab w:val="num" w:pos="6248"/>
        </w:tabs>
        <w:ind w:left="6248" w:hanging="360"/>
      </w:pPr>
      <w:rPr>
        <w:rFonts w:ascii="Wingdings" w:hAnsi="Wingdings" w:hint="default"/>
      </w:rPr>
    </w:lvl>
    <w:lvl w:ilvl="6" w:tplc="9A9A9308" w:tentative="1">
      <w:start w:val="1"/>
      <w:numFmt w:val="bullet"/>
      <w:lvlText w:val=""/>
      <w:lvlJc w:val="left"/>
      <w:pPr>
        <w:tabs>
          <w:tab w:val="num" w:pos="6968"/>
        </w:tabs>
        <w:ind w:left="6968" w:hanging="360"/>
      </w:pPr>
      <w:rPr>
        <w:rFonts w:ascii="Symbol" w:hAnsi="Symbol" w:hint="default"/>
      </w:rPr>
    </w:lvl>
    <w:lvl w:ilvl="7" w:tplc="46C4268E" w:tentative="1">
      <w:start w:val="1"/>
      <w:numFmt w:val="bullet"/>
      <w:lvlText w:val="o"/>
      <w:lvlJc w:val="left"/>
      <w:pPr>
        <w:tabs>
          <w:tab w:val="num" w:pos="7688"/>
        </w:tabs>
        <w:ind w:left="7688" w:hanging="360"/>
      </w:pPr>
      <w:rPr>
        <w:rFonts w:ascii="Courier New" w:hAnsi="Courier New" w:hint="default"/>
      </w:rPr>
    </w:lvl>
    <w:lvl w:ilvl="8" w:tplc="65C6D318" w:tentative="1">
      <w:start w:val="1"/>
      <w:numFmt w:val="bullet"/>
      <w:lvlText w:val=""/>
      <w:lvlJc w:val="left"/>
      <w:pPr>
        <w:tabs>
          <w:tab w:val="num" w:pos="8408"/>
        </w:tabs>
        <w:ind w:left="8408" w:hanging="360"/>
      </w:pPr>
      <w:rPr>
        <w:rFonts w:ascii="Wingdings" w:hAnsi="Wingdings" w:hint="default"/>
      </w:rPr>
    </w:lvl>
  </w:abstractNum>
  <w:abstractNum w:abstractNumId="4" w15:restartNumberingAfterBreak="0">
    <w:nsid w:val="1596617A"/>
    <w:multiLevelType w:val="hybridMultilevel"/>
    <w:tmpl w:val="B700ED8C"/>
    <w:lvl w:ilvl="0" w:tplc="F5B6E2D4">
      <w:start w:val="1"/>
      <w:numFmt w:val="bullet"/>
      <w:lvlText w:val="•"/>
      <w:lvlJc w:val="left"/>
      <w:pPr>
        <w:tabs>
          <w:tab w:val="num" w:pos="720"/>
        </w:tabs>
        <w:ind w:left="720" w:hanging="360"/>
      </w:pPr>
      <w:rPr>
        <w:rFonts w:ascii="Arial" w:hAnsi="Arial" w:hint="default"/>
      </w:rPr>
    </w:lvl>
    <w:lvl w:ilvl="1" w:tplc="6470B542" w:tentative="1">
      <w:start w:val="1"/>
      <w:numFmt w:val="bullet"/>
      <w:lvlText w:val="•"/>
      <w:lvlJc w:val="left"/>
      <w:pPr>
        <w:tabs>
          <w:tab w:val="num" w:pos="1440"/>
        </w:tabs>
        <w:ind w:left="1440" w:hanging="360"/>
      </w:pPr>
      <w:rPr>
        <w:rFonts w:ascii="Arial" w:hAnsi="Arial" w:hint="default"/>
      </w:rPr>
    </w:lvl>
    <w:lvl w:ilvl="2" w:tplc="572A72C6" w:tentative="1">
      <w:start w:val="1"/>
      <w:numFmt w:val="bullet"/>
      <w:lvlText w:val="•"/>
      <w:lvlJc w:val="left"/>
      <w:pPr>
        <w:tabs>
          <w:tab w:val="num" w:pos="2160"/>
        </w:tabs>
        <w:ind w:left="2160" w:hanging="360"/>
      </w:pPr>
      <w:rPr>
        <w:rFonts w:ascii="Arial" w:hAnsi="Arial" w:hint="default"/>
      </w:rPr>
    </w:lvl>
    <w:lvl w:ilvl="3" w:tplc="9D5EA5B6" w:tentative="1">
      <w:start w:val="1"/>
      <w:numFmt w:val="bullet"/>
      <w:lvlText w:val="•"/>
      <w:lvlJc w:val="left"/>
      <w:pPr>
        <w:tabs>
          <w:tab w:val="num" w:pos="2880"/>
        </w:tabs>
        <w:ind w:left="2880" w:hanging="360"/>
      </w:pPr>
      <w:rPr>
        <w:rFonts w:ascii="Arial" w:hAnsi="Arial" w:hint="default"/>
      </w:rPr>
    </w:lvl>
    <w:lvl w:ilvl="4" w:tplc="E73C72B0" w:tentative="1">
      <w:start w:val="1"/>
      <w:numFmt w:val="bullet"/>
      <w:lvlText w:val="•"/>
      <w:lvlJc w:val="left"/>
      <w:pPr>
        <w:tabs>
          <w:tab w:val="num" w:pos="3600"/>
        </w:tabs>
        <w:ind w:left="3600" w:hanging="360"/>
      </w:pPr>
      <w:rPr>
        <w:rFonts w:ascii="Arial" w:hAnsi="Arial" w:hint="default"/>
      </w:rPr>
    </w:lvl>
    <w:lvl w:ilvl="5" w:tplc="4D60BDFA" w:tentative="1">
      <w:start w:val="1"/>
      <w:numFmt w:val="bullet"/>
      <w:lvlText w:val="•"/>
      <w:lvlJc w:val="left"/>
      <w:pPr>
        <w:tabs>
          <w:tab w:val="num" w:pos="4320"/>
        </w:tabs>
        <w:ind w:left="4320" w:hanging="360"/>
      </w:pPr>
      <w:rPr>
        <w:rFonts w:ascii="Arial" w:hAnsi="Arial" w:hint="default"/>
      </w:rPr>
    </w:lvl>
    <w:lvl w:ilvl="6" w:tplc="C8A28CA6" w:tentative="1">
      <w:start w:val="1"/>
      <w:numFmt w:val="bullet"/>
      <w:lvlText w:val="•"/>
      <w:lvlJc w:val="left"/>
      <w:pPr>
        <w:tabs>
          <w:tab w:val="num" w:pos="5040"/>
        </w:tabs>
        <w:ind w:left="5040" w:hanging="360"/>
      </w:pPr>
      <w:rPr>
        <w:rFonts w:ascii="Arial" w:hAnsi="Arial" w:hint="default"/>
      </w:rPr>
    </w:lvl>
    <w:lvl w:ilvl="7" w:tplc="2B3E71F8" w:tentative="1">
      <w:start w:val="1"/>
      <w:numFmt w:val="bullet"/>
      <w:lvlText w:val="•"/>
      <w:lvlJc w:val="left"/>
      <w:pPr>
        <w:tabs>
          <w:tab w:val="num" w:pos="5760"/>
        </w:tabs>
        <w:ind w:left="5760" w:hanging="360"/>
      </w:pPr>
      <w:rPr>
        <w:rFonts w:ascii="Arial" w:hAnsi="Arial" w:hint="default"/>
      </w:rPr>
    </w:lvl>
    <w:lvl w:ilvl="8" w:tplc="C4FEDB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4A1544"/>
    <w:multiLevelType w:val="hybridMultilevel"/>
    <w:tmpl w:val="67B4CF88"/>
    <w:lvl w:ilvl="0" w:tplc="7A5809D2">
      <w:start w:val="1"/>
      <w:numFmt w:val="bullet"/>
      <w:lvlText w:val=""/>
      <w:lvlJc w:val="left"/>
      <w:pPr>
        <w:tabs>
          <w:tab w:val="num" w:pos="454"/>
        </w:tabs>
        <w:ind w:left="454" w:hanging="454"/>
      </w:pPr>
      <w:rPr>
        <w:rFonts w:ascii="Symbol" w:hAnsi="Symbol" w:hint="default"/>
      </w:rPr>
    </w:lvl>
    <w:lvl w:ilvl="1" w:tplc="17602C9E" w:tentative="1">
      <w:start w:val="1"/>
      <w:numFmt w:val="bullet"/>
      <w:lvlText w:val="o"/>
      <w:lvlJc w:val="left"/>
      <w:pPr>
        <w:tabs>
          <w:tab w:val="num" w:pos="2404"/>
        </w:tabs>
        <w:ind w:left="2404" w:hanging="360"/>
      </w:pPr>
      <w:rPr>
        <w:rFonts w:ascii="Courier New" w:hAnsi="Courier New" w:hint="default"/>
      </w:rPr>
    </w:lvl>
    <w:lvl w:ilvl="2" w:tplc="1B48E66C" w:tentative="1">
      <w:start w:val="1"/>
      <w:numFmt w:val="bullet"/>
      <w:lvlText w:val=""/>
      <w:lvlJc w:val="left"/>
      <w:pPr>
        <w:tabs>
          <w:tab w:val="num" w:pos="3124"/>
        </w:tabs>
        <w:ind w:left="3124" w:hanging="360"/>
      </w:pPr>
      <w:rPr>
        <w:rFonts w:ascii="Wingdings" w:hAnsi="Wingdings" w:hint="default"/>
      </w:rPr>
    </w:lvl>
    <w:lvl w:ilvl="3" w:tplc="386CF588" w:tentative="1">
      <w:start w:val="1"/>
      <w:numFmt w:val="bullet"/>
      <w:lvlText w:val=""/>
      <w:lvlJc w:val="left"/>
      <w:pPr>
        <w:tabs>
          <w:tab w:val="num" w:pos="3844"/>
        </w:tabs>
        <w:ind w:left="3844" w:hanging="360"/>
      </w:pPr>
      <w:rPr>
        <w:rFonts w:ascii="Symbol" w:hAnsi="Symbol" w:hint="default"/>
      </w:rPr>
    </w:lvl>
    <w:lvl w:ilvl="4" w:tplc="F82C4FAE" w:tentative="1">
      <w:start w:val="1"/>
      <w:numFmt w:val="bullet"/>
      <w:lvlText w:val="o"/>
      <w:lvlJc w:val="left"/>
      <w:pPr>
        <w:tabs>
          <w:tab w:val="num" w:pos="4564"/>
        </w:tabs>
        <w:ind w:left="4564" w:hanging="360"/>
      </w:pPr>
      <w:rPr>
        <w:rFonts w:ascii="Courier New" w:hAnsi="Courier New" w:hint="default"/>
      </w:rPr>
    </w:lvl>
    <w:lvl w:ilvl="5" w:tplc="4CE4364C" w:tentative="1">
      <w:start w:val="1"/>
      <w:numFmt w:val="bullet"/>
      <w:lvlText w:val=""/>
      <w:lvlJc w:val="left"/>
      <w:pPr>
        <w:tabs>
          <w:tab w:val="num" w:pos="5284"/>
        </w:tabs>
        <w:ind w:left="5284" w:hanging="360"/>
      </w:pPr>
      <w:rPr>
        <w:rFonts w:ascii="Wingdings" w:hAnsi="Wingdings" w:hint="default"/>
      </w:rPr>
    </w:lvl>
    <w:lvl w:ilvl="6" w:tplc="56E862C4" w:tentative="1">
      <w:start w:val="1"/>
      <w:numFmt w:val="bullet"/>
      <w:lvlText w:val=""/>
      <w:lvlJc w:val="left"/>
      <w:pPr>
        <w:tabs>
          <w:tab w:val="num" w:pos="6004"/>
        </w:tabs>
        <w:ind w:left="6004" w:hanging="360"/>
      </w:pPr>
      <w:rPr>
        <w:rFonts w:ascii="Symbol" w:hAnsi="Symbol" w:hint="default"/>
      </w:rPr>
    </w:lvl>
    <w:lvl w:ilvl="7" w:tplc="56706982" w:tentative="1">
      <w:start w:val="1"/>
      <w:numFmt w:val="bullet"/>
      <w:lvlText w:val="o"/>
      <w:lvlJc w:val="left"/>
      <w:pPr>
        <w:tabs>
          <w:tab w:val="num" w:pos="6724"/>
        </w:tabs>
        <w:ind w:left="6724" w:hanging="360"/>
      </w:pPr>
      <w:rPr>
        <w:rFonts w:ascii="Courier New" w:hAnsi="Courier New" w:hint="default"/>
      </w:rPr>
    </w:lvl>
    <w:lvl w:ilvl="8" w:tplc="0414B1EA" w:tentative="1">
      <w:start w:val="1"/>
      <w:numFmt w:val="bullet"/>
      <w:lvlText w:val=""/>
      <w:lvlJc w:val="left"/>
      <w:pPr>
        <w:tabs>
          <w:tab w:val="num" w:pos="7444"/>
        </w:tabs>
        <w:ind w:left="7444" w:hanging="360"/>
      </w:pPr>
      <w:rPr>
        <w:rFonts w:ascii="Wingdings" w:hAnsi="Wingdings" w:hint="default"/>
      </w:rPr>
    </w:lvl>
  </w:abstractNum>
  <w:abstractNum w:abstractNumId="6" w15:restartNumberingAfterBreak="0">
    <w:nsid w:val="1B7644EC"/>
    <w:multiLevelType w:val="multilevel"/>
    <w:tmpl w:val="038C8F1A"/>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7" w15:restartNumberingAfterBreak="0">
    <w:nsid w:val="2CC95F0D"/>
    <w:multiLevelType w:val="hybridMultilevel"/>
    <w:tmpl w:val="5D588FEC"/>
    <w:lvl w:ilvl="0" w:tplc="7EDA01A2">
      <w:start w:val="1"/>
      <w:numFmt w:val="bullet"/>
      <w:pStyle w:val="TableBullet"/>
      <w:lvlText w:val=""/>
      <w:lvlJc w:val="left"/>
      <w:pPr>
        <w:tabs>
          <w:tab w:val="num" w:pos="227"/>
        </w:tabs>
        <w:ind w:left="227" w:hanging="227"/>
      </w:pPr>
      <w:rPr>
        <w:rFonts w:ascii="Symbol" w:hAnsi="Symbol" w:hint="default"/>
      </w:rPr>
    </w:lvl>
    <w:lvl w:ilvl="1" w:tplc="F63CFEA8" w:tentative="1">
      <w:start w:val="1"/>
      <w:numFmt w:val="bullet"/>
      <w:lvlText w:val="o"/>
      <w:lvlJc w:val="left"/>
      <w:pPr>
        <w:tabs>
          <w:tab w:val="num" w:pos="1440"/>
        </w:tabs>
        <w:ind w:left="1440" w:hanging="360"/>
      </w:pPr>
      <w:rPr>
        <w:rFonts w:ascii="Courier New" w:hAnsi="Courier New" w:hint="default"/>
      </w:rPr>
    </w:lvl>
    <w:lvl w:ilvl="2" w:tplc="0DE0B516" w:tentative="1">
      <w:start w:val="1"/>
      <w:numFmt w:val="bullet"/>
      <w:lvlText w:val=""/>
      <w:lvlJc w:val="left"/>
      <w:pPr>
        <w:tabs>
          <w:tab w:val="num" w:pos="2160"/>
        </w:tabs>
        <w:ind w:left="2160" w:hanging="360"/>
      </w:pPr>
      <w:rPr>
        <w:rFonts w:ascii="Wingdings" w:hAnsi="Wingdings" w:hint="default"/>
      </w:rPr>
    </w:lvl>
    <w:lvl w:ilvl="3" w:tplc="B3DCA612" w:tentative="1">
      <w:start w:val="1"/>
      <w:numFmt w:val="bullet"/>
      <w:lvlText w:val=""/>
      <w:lvlJc w:val="left"/>
      <w:pPr>
        <w:tabs>
          <w:tab w:val="num" w:pos="2880"/>
        </w:tabs>
        <w:ind w:left="2880" w:hanging="360"/>
      </w:pPr>
      <w:rPr>
        <w:rFonts w:ascii="Symbol" w:hAnsi="Symbol" w:hint="default"/>
      </w:rPr>
    </w:lvl>
    <w:lvl w:ilvl="4" w:tplc="7DDCD8E0" w:tentative="1">
      <w:start w:val="1"/>
      <w:numFmt w:val="bullet"/>
      <w:lvlText w:val="o"/>
      <w:lvlJc w:val="left"/>
      <w:pPr>
        <w:tabs>
          <w:tab w:val="num" w:pos="3600"/>
        </w:tabs>
        <w:ind w:left="3600" w:hanging="360"/>
      </w:pPr>
      <w:rPr>
        <w:rFonts w:ascii="Courier New" w:hAnsi="Courier New" w:hint="default"/>
      </w:rPr>
    </w:lvl>
    <w:lvl w:ilvl="5" w:tplc="B8ECC924" w:tentative="1">
      <w:start w:val="1"/>
      <w:numFmt w:val="bullet"/>
      <w:lvlText w:val=""/>
      <w:lvlJc w:val="left"/>
      <w:pPr>
        <w:tabs>
          <w:tab w:val="num" w:pos="4320"/>
        </w:tabs>
        <w:ind w:left="4320" w:hanging="360"/>
      </w:pPr>
      <w:rPr>
        <w:rFonts w:ascii="Wingdings" w:hAnsi="Wingdings" w:hint="default"/>
      </w:rPr>
    </w:lvl>
    <w:lvl w:ilvl="6" w:tplc="0346E332" w:tentative="1">
      <w:start w:val="1"/>
      <w:numFmt w:val="bullet"/>
      <w:lvlText w:val=""/>
      <w:lvlJc w:val="left"/>
      <w:pPr>
        <w:tabs>
          <w:tab w:val="num" w:pos="5040"/>
        </w:tabs>
        <w:ind w:left="5040" w:hanging="360"/>
      </w:pPr>
      <w:rPr>
        <w:rFonts w:ascii="Symbol" w:hAnsi="Symbol" w:hint="default"/>
      </w:rPr>
    </w:lvl>
    <w:lvl w:ilvl="7" w:tplc="AA7CDC72" w:tentative="1">
      <w:start w:val="1"/>
      <w:numFmt w:val="bullet"/>
      <w:lvlText w:val="o"/>
      <w:lvlJc w:val="left"/>
      <w:pPr>
        <w:tabs>
          <w:tab w:val="num" w:pos="5760"/>
        </w:tabs>
        <w:ind w:left="5760" w:hanging="360"/>
      </w:pPr>
      <w:rPr>
        <w:rFonts w:ascii="Courier New" w:hAnsi="Courier New" w:hint="default"/>
      </w:rPr>
    </w:lvl>
    <w:lvl w:ilvl="8" w:tplc="B56CA7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535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BF51EB"/>
    <w:multiLevelType w:val="hybridMultilevel"/>
    <w:tmpl w:val="489615FE"/>
    <w:lvl w:ilvl="0" w:tplc="2B407FA6">
      <w:start w:val="1"/>
      <w:numFmt w:val="lowerRoman"/>
      <w:lvlText w:val="%1"/>
      <w:lvlJc w:val="left"/>
      <w:pPr>
        <w:tabs>
          <w:tab w:val="num" w:pos="720"/>
        </w:tabs>
        <w:ind w:left="454" w:hanging="454"/>
      </w:pPr>
      <w:rPr>
        <w:rFonts w:hint="default"/>
      </w:rPr>
    </w:lvl>
    <w:lvl w:ilvl="1" w:tplc="A3929C18" w:tentative="1">
      <w:start w:val="1"/>
      <w:numFmt w:val="lowerLetter"/>
      <w:lvlText w:val="%2."/>
      <w:lvlJc w:val="left"/>
      <w:pPr>
        <w:tabs>
          <w:tab w:val="num" w:pos="1440"/>
        </w:tabs>
        <w:ind w:left="1440" w:hanging="360"/>
      </w:pPr>
    </w:lvl>
    <w:lvl w:ilvl="2" w:tplc="C2769A08" w:tentative="1">
      <w:start w:val="1"/>
      <w:numFmt w:val="lowerRoman"/>
      <w:lvlText w:val="%3."/>
      <w:lvlJc w:val="right"/>
      <w:pPr>
        <w:tabs>
          <w:tab w:val="num" w:pos="2160"/>
        </w:tabs>
        <w:ind w:left="2160" w:hanging="180"/>
      </w:pPr>
    </w:lvl>
    <w:lvl w:ilvl="3" w:tplc="BD5C1210" w:tentative="1">
      <w:start w:val="1"/>
      <w:numFmt w:val="decimal"/>
      <w:lvlText w:val="%4."/>
      <w:lvlJc w:val="left"/>
      <w:pPr>
        <w:tabs>
          <w:tab w:val="num" w:pos="2880"/>
        </w:tabs>
        <w:ind w:left="2880" w:hanging="360"/>
      </w:pPr>
    </w:lvl>
    <w:lvl w:ilvl="4" w:tplc="63F2BD78" w:tentative="1">
      <w:start w:val="1"/>
      <w:numFmt w:val="lowerLetter"/>
      <w:lvlText w:val="%5."/>
      <w:lvlJc w:val="left"/>
      <w:pPr>
        <w:tabs>
          <w:tab w:val="num" w:pos="3600"/>
        </w:tabs>
        <w:ind w:left="3600" w:hanging="360"/>
      </w:pPr>
    </w:lvl>
    <w:lvl w:ilvl="5" w:tplc="436CEF7C" w:tentative="1">
      <w:start w:val="1"/>
      <w:numFmt w:val="lowerRoman"/>
      <w:lvlText w:val="%6."/>
      <w:lvlJc w:val="right"/>
      <w:pPr>
        <w:tabs>
          <w:tab w:val="num" w:pos="4320"/>
        </w:tabs>
        <w:ind w:left="4320" w:hanging="180"/>
      </w:pPr>
    </w:lvl>
    <w:lvl w:ilvl="6" w:tplc="F410A69E" w:tentative="1">
      <w:start w:val="1"/>
      <w:numFmt w:val="decimal"/>
      <w:lvlText w:val="%7."/>
      <w:lvlJc w:val="left"/>
      <w:pPr>
        <w:tabs>
          <w:tab w:val="num" w:pos="5040"/>
        </w:tabs>
        <w:ind w:left="5040" w:hanging="360"/>
      </w:pPr>
    </w:lvl>
    <w:lvl w:ilvl="7" w:tplc="77149F6E" w:tentative="1">
      <w:start w:val="1"/>
      <w:numFmt w:val="lowerLetter"/>
      <w:lvlText w:val="%8."/>
      <w:lvlJc w:val="left"/>
      <w:pPr>
        <w:tabs>
          <w:tab w:val="num" w:pos="5760"/>
        </w:tabs>
        <w:ind w:left="5760" w:hanging="360"/>
      </w:pPr>
    </w:lvl>
    <w:lvl w:ilvl="8" w:tplc="B57CF6FE" w:tentative="1">
      <w:start w:val="1"/>
      <w:numFmt w:val="lowerRoman"/>
      <w:lvlText w:val="%9."/>
      <w:lvlJc w:val="right"/>
      <w:pPr>
        <w:tabs>
          <w:tab w:val="num" w:pos="6480"/>
        </w:tabs>
        <w:ind w:left="6480" w:hanging="180"/>
      </w:pPr>
    </w:lvl>
  </w:abstractNum>
  <w:abstractNum w:abstractNumId="10"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1"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C7A3ACC"/>
    <w:multiLevelType w:val="hybridMultilevel"/>
    <w:tmpl w:val="4B7AFB74"/>
    <w:lvl w:ilvl="0" w:tplc="745C63FC">
      <w:start w:val="1"/>
      <w:numFmt w:val="lowerLetter"/>
      <w:lvlText w:val="%1"/>
      <w:lvlJc w:val="left"/>
      <w:pPr>
        <w:tabs>
          <w:tab w:val="num" w:pos="2665"/>
        </w:tabs>
        <w:ind w:left="2665" w:hanging="737"/>
      </w:pPr>
      <w:rPr>
        <w:rFonts w:hint="default"/>
      </w:rPr>
    </w:lvl>
    <w:lvl w:ilvl="1" w:tplc="57CA6B46" w:tentative="1">
      <w:start w:val="1"/>
      <w:numFmt w:val="lowerLetter"/>
      <w:lvlText w:val="%2."/>
      <w:lvlJc w:val="left"/>
      <w:pPr>
        <w:tabs>
          <w:tab w:val="num" w:pos="1440"/>
        </w:tabs>
        <w:ind w:left="1440" w:hanging="360"/>
      </w:pPr>
    </w:lvl>
    <w:lvl w:ilvl="2" w:tplc="CB5280B8" w:tentative="1">
      <w:start w:val="1"/>
      <w:numFmt w:val="lowerRoman"/>
      <w:lvlText w:val="%3."/>
      <w:lvlJc w:val="right"/>
      <w:pPr>
        <w:tabs>
          <w:tab w:val="num" w:pos="2160"/>
        </w:tabs>
        <w:ind w:left="2160" w:hanging="180"/>
      </w:pPr>
    </w:lvl>
    <w:lvl w:ilvl="3" w:tplc="A89CD654" w:tentative="1">
      <w:start w:val="1"/>
      <w:numFmt w:val="decimal"/>
      <w:lvlText w:val="%4."/>
      <w:lvlJc w:val="left"/>
      <w:pPr>
        <w:tabs>
          <w:tab w:val="num" w:pos="2880"/>
        </w:tabs>
        <w:ind w:left="2880" w:hanging="360"/>
      </w:pPr>
    </w:lvl>
    <w:lvl w:ilvl="4" w:tplc="0B260708" w:tentative="1">
      <w:start w:val="1"/>
      <w:numFmt w:val="lowerLetter"/>
      <w:lvlText w:val="%5."/>
      <w:lvlJc w:val="left"/>
      <w:pPr>
        <w:tabs>
          <w:tab w:val="num" w:pos="3600"/>
        </w:tabs>
        <w:ind w:left="3600" w:hanging="360"/>
      </w:pPr>
    </w:lvl>
    <w:lvl w:ilvl="5" w:tplc="28F4A55A" w:tentative="1">
      <w:start w:val="1"/>
      <w:numFmt w:val="lowerRoman"/>
      <w:lvlText w:val="%6."/>
      <w:lvlJc w:val="right"/>
      <w:pPr>
        <w:tabs>
          <w:tab w:val="num" w:pos="4320"/>
        </w:tabs>
        <w:ind w:left="4320" w:hanging="180"/>
      </w:pPr>
    </w:lvl>
    <w:lvl w:ilvl="6" w:tplc="01546CB8" w:tentative="1">
      <w:start w:val="1"/>
      <w:numFmt w:val="decimal"/>
      <w:lvlText w:val="%7."/>
      <w:lvlJc w:val="left"/>
      <w:pPr>
        <w:tabs>
          <w:tab w:val="num" w:pos="5040"/>
        </w:tabs>
        <w:ind w:left="5040" w:hanging="360"/>
      </w:pPr>
    </w:lvl>
    <w:lvl w:ilvl="7" w:tplc="471A372A" w:tentative="1">
      <w:start w:val="1"/>
      <w:numFmt w:val="lowerLetter"/>
      <w:lvlText w:val="%8."/>
      <w:lvlJc w:val="left"/>
      <w:pPr>
        <w:tabs>
          <w:tab w:val="num" w:pos="5760"/>
        </w:tabs>
        <w:ind w:left="5760" w:hanging="360"/>
      </w:pPr>
    </w:lvl>
    <w:lvl w:ilvl="8" w:tplc="8ED4CCB2" w:tentative="1">
      <w:start w:val="1"/>
      <w:numFmt w:val="lowerRoman"/>
      <w:lvlText w:val="%9."/>
      <w:lvlJc w:val="right"/>
      <w:pPr>
        <w:tabs>
          <w:tab w:val="num" w:pos="6480"/>
        </w:tabs>
        <w:ind w:left="6480" w:hanging="180"/>
      </w:pPr>
    </w:lvl>
  </w:abstractNum>
  <w:abstractNum w:abstractNumId="14" w15:restartNumberingAfterBreak="0">
    <w:nsid w:val="55FC78EC"/>
    <w:multiLevelType w:val="hybridMultilevel"/>
    <w:tmpl w:val="B3126856"/>
    <w:lvl w:ilvl="0" w:tplc="2B3AB68A">
      <w:start w:val="1"/>
      <w:numFmt w:val="bullet"/>
      <w:pStyle w:val="BulletOne"/>
      <w:lvlText w:val=""/>
      <w:lvlJc w:val="left"/>
      <w:pPr>
        <w:tabs>
          <w:tab w:val="num" w:pos="227"/>
        </w:tabs>
        <w:ind w:left="227" w:hanging="227"/>
      </w:pPr>
      <w:rPr>
        <w:rFonts w:ascii="Symbol" w:hAnsi="Symbol" w:hint="default"/>
      </w:rPr>
    </w:lvl>
    <w:lvl w:ilvl="1" w:tplc="7ECCB84E" w:tentative="1">
      <w:start w:val="1"/>
      <w:numFmt w:val="bullet"/>
      <w:lvlText w:val="o"/>
      <w:lvlJc w:val="left"/>
      <w:pPr>
        <w:tabs>
          <w:tab w:val="num" w:pos="1440"/>
        </w:tabs>
        <w:ind w:left="1440" w:hanging="360"/>
      </w:pPr>
      <w:rPr>
        <w:rFonts w:ascii="Courier New" w:hAnsi="Courier New" w:cs="Courier New" w:hint="default"/>
      </w:rPr>
    </w:lvl>
    <w:lvl w:ilvl="2" w:tplc="0338D9EE" w:tentative="1">
      <w:start w:val="1"/>
      <w:numFmt w:val="bullet"/>
      <w:lvlText w:val=""/>
      <w:lvlJc w:val="left"/>
      <w:pPr>
        <w:tabs>
          <w:tab w:val="num" w:pos="2160"/>
        </w:tabs>
        <w:ind w:left="2160" w:hanging="360"/>
      </w:pPr>
      <w:rPr>
        <w:rFonts w:ascii="Wingdings" w:hAnsi="Wingdings" w:hint="default"/>
      </w:rPr>
    </w:lvl>
    <w:lvl w:ilvl="3" w:tplc="187A4250" w:tentative="1">
      <w:start w:val="1"/>
      <w:numFmt w:val="bullet"/>
      <w:lvlText w:val=""/>
      <w:lvlJc w:val="left"/>
      <w:pPr>
        <w:tabs>
          <w:tab w:val="num" w:pos="2880"/>
        </w:tabs>
        <w:ind w:left="2880" w:hanging="360"/>
      </w:pPr>
      <w:rPr>
        <w:rFonts w:ascii="Symbol" w:hAnsi="Symbol" w:hint="default"/>
      </w:rPr>
    </w:lvl>
    <w:lvl w:ilvl="4" w:tplc="586EF0FE" w:tentative="1">
      <w:start w:val="1"/>
      <w:numFmt w:val="bullet"/>
      <w:lvlText w:val="o"/>
      <w:lvlJc w:val="left"/>
      <w:pPr>
        <w:tabs>
          <w:tab w:val="num" w:pos="3600"/>
        </w:tabs>
        <w:ind w:left="3600" w:hanging="360"/>
      </w:pPr>
      <w:rPr>
        <w:rFonts w:ascii="Courier New" w:hAnsi="Courier New" w:cs="Courier New" w:hint="default"/>
      </w:rPr>
    </w:lvl>
    <w:lvl w:ilvl="5" w:tplc="DC6A51C6" w:tentative="1">
      <w:start w:val="1"/>
      <w:numFmt w:val="bullet"/>
      <w:lvlText w:val=""/>
      <w:lvlJc w:val="left"/>
      <w:pPr>
        <w:tabs>
          <w:tab w:val="num" w:pos="4320"/>
        </w:tabs>
        <w:ind w:left="4320" w:hanging="360"/>
      </w:pPr>
      <w:rPr>
        <w:rFonts w:ascii="Wingdings" w:hAnsi="Wingdings" w:hint="default"/>
      </w:rPr>
    </w:lvl>
    <w:lvl w:ilvl="6" w:tplc="B10CAF8A" w:tentative="1">
      <w:start w:val="1"/>
      <w:numFmt w:val="bullet"/>
      <w:lvlText w:val=""/>
      <w:lvlJc w:val="left"/>
      <w:pPr>
        <w:tabs>
          <w:tab w:val="num" w:pos="5040"/>
        </w:tabs>
        <w:ind w:left="5040" w:hanging="360"/>
      </w:pPr>
      <w:rPr>
        <w:rFonts w:ascii="Symbol" w:hAnsi="Symbol" w:hint="default"/>
      </w:rPr>
    </w:lvl>
    <w:lvl w:ilvl="7" w:tplc="CCB6E6D0" w:tentative="1">
      <w:start w:val="1"/>
      <w:numFmt w:val="bullet"/>
      <w:lvlText w:val="o"/>
      <w:lvlJc w:val="left"/>
      <w:pPr>
        <w:tabs>
          <w:tab w:val="num" w:pos="5760"/>
        </w:tabs>
        <w:ind w:left="5760" w:hanging="360"/>
      </w:pPr>
      <w:rPr>
        <w:rFonts w:ascii="Courier New" w:hAnsi="Courier New" w:cs="Courier New" w:hint="default"/>
      </w:rPr>
    </w:lvl>
    <w:lvl w:ilvl="8" w:tplc="613484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6" w15:restartNumberingAfterBreak="0">
    <w:nsid w:val="5F836AF2"/>
    <w:multiLevelType w:val="hybridMultilevel"/>
    <w:tmpl w:val="47F4BEE8"/>
    <w:lvl w:ilvl="0" w:tplc="3036F8F2">
      <w:start w:val="1"/>
      <w:numFmt w:val="bullet"/>
      <w:pStyle w:val="BulletTwo"/>
      <w:lvlText w:val=""/>
      <w:lvlJc w:val="left"/>
      <w:pPr>
        <w:tabs>
          <w:tab w:val="num" w:pos="454"/>
        </w:tabs>
        <w:ind w:left="454" w:hanging="227"/>
      </w:pPr>
      <w:rPr>
        <w:rFonts w:ascii="Symbol" w:hAnsi="Symbol" w:hint="default"/>
      </w:rPr>
    </w:lvl>
    <w:lvl w:ilvl="1" w:tplc="1DDA7E2E" w:tentative="1">
      <w:start w:val="1"/>
      <w:numFmt w:val="bullet"/>
      <w:lvlText w:val="o"/>
      <w:lvlJc w:val="left"/>
      <w:pPr>
        <w:tabs>
          <w:tab w:val="num" w:pos="1440"/>
        </w:tabs>
        <w:ind w:left="1440" w:hanging="360"/>
      </w:pPr>
      <w:rPr>
        <w:rFonts w:ascii="Courier New" w:hAnsi="Courier New" w:cs="Courier New" w:hint="default"/>
      </w:rPr>
    </w:lvl>
    <w:lvl w:ilvl="2" w:tplc="082CCE94" w:tentative="1">
      <w:start w:val="1"/>
      <w:numFmt w:val="bullet"/>
      <w:lvlText w:val=""/>
      <w:lvlJc w:val="left"/>
      <w:pPr>
        <w:tabs>
          <w:tab w:val="num" w:pos="2160"/>
        </w:tabs>
        <w:ind w:left="2160" w:hanging="360"/>
      </w:pPr>
      <w:rPr>
        <w:rFonts w:ascii="Wingdings" w:hAnsi="Wingdings" w:hint="default"/>
      </w:rPr>
    </w:lvl>
    <w:lvl w:ilvl="3" w:tplc="A3267EBC" w:tentative="1">
      <w:start w:val="1"/>
      <w:numFmt w:val="bullet"/>
      <w:lvlText w:val=""/>
      <w:lvlJc w:val="left"/>
      <w:pPr>
        <w:tabs>
          <w:tab w:val="num" w:pos="2880"/>
        </w:tabs>
        <w:ind w:left="2880" w:hanging="360"/>
      </w:pPr>
      <w:rPr>
        <w:rFonts w:ascii="Symbol" w:hAnsi="Symbol" w:hint="default"/>
      </w:rPr>
    </w:lvl>
    <w:lvl w:ilvl="4" w:tplc="54108554" w:tentative="1">
      <w:start w:val="1"/>
      <w:numFmt w:val="bullet"/>
      <w:lvlText w:val="o"/>
      <w:lvlJc w:val="left"/>
      <w:pPr>
        <w:tabs>
          <w:tab w:val="num" w:pos="3600"/>
        </w:tabs>
        <w:ind w:left="3600" w:hanging="360"/>
      </w:pPr>
      <w:rPr>
        <w:rFonts w:ascii="Courier New" w:hAnsi="Courier New" w:cs="Courier New" w:hint="default"/>
      </w:rPr>
    </w:lvl>
    <w:lvl w:ilvl="5" w:tplc="736EC8A0" w:tentative="1">
      <w:start w:val="1"/>
      <w:numFmt w:val="bullet"/>
      <w:lvlText w:val=""/>
      <w:lvlJc w:val="left"/>
      <w:pPr>
        <w:tabs>
          <w:tab w:val="num" w:pos="4320"/>
        </w:tabs>
        <w:ind w:left="4320" w:hanging="360"/>
      </w:pPr>
      <w:rPr>
        <w:rFonts w:ascii="Wingdings" w:hAnsi="Wingdings" w:hint="default"/>
      </w:rPr>
    </w:lvl>
    <w:lvl w:ilvl="6" w:tplc="5428E1F4" w:tentative="1">
      <w:start w:val="1"/>
      <w:numFmt w:val="bullet"/>
      <w:lvlText w:val=""/>
      <w:lvlJc w:val="left"/>
      <w:pPr>
        <w:tabs>
          <w:tab w:val="num" w:pos="5040"/>
        </w:tabs>
        <w:ind w:left="5040" w:hanging="360"/>
      </w:pPr>
      <w:rPr>
        <w:rFonts w:ascii="Symbol" w:hAnsi="Symbol" w:hint="default"/>
      </w:rPr>
    </w:lvl>
    <w:lvl w:ilvl="7" w:tplc="D7B6DEEA" w:tentative="1">
      <w:start w:val="1"/>
      <w:numFmt w:val="bullet"/>
      <w:lvlText w:val="o"/>
      <w:lvlJc w:val="left"/>
      <w:pPr>
        <w:tabs>
          <w:tab w:val="num" w:pos="5760"/>
        </w:tabs>
        <w:ind w:left="5760" w:hanging="360"/>
      </w:pPr>
      <w:rPr>
        <w:rFonts w:ascii="Courier New" w:hAnsi="Courier New" w:cs="Courier New" w:hint="default"/>
      </w:rPr>
    </w:lvl>
    <w:lvl w:ilvl="8" w:tplc="69FEAC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36897"/>
    <w:multiLevelType w:val="multilevel"/>
    <w:tmpl w:val="6EF4E98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374AC7"/>
    <w:multiLevelType w:val="multilevel"/>
    <w:tmpl w:val="AD528F6C"/>
    <w:lvl w:ilvl="0">
      <w:start w:val="1"/>
      <w:numFmt w:val="decimal"/>
      <w:pStyle w:val="NumBulletOne"/>
      <w:lvlText w:val="%1"/>
      <w:lvlJc w:val="left"/>
      <w:pPr>
        <w:tabs>
          <w:tab w:val="num" w:pos="227"/>
        </w:tabs>
        <w:ind w:left="227" w:hanging="227"/>
      </w:pPr>
      <w:rPr>
        <w:rFonts w:hint="default"/>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56202BD"/>
    <w:multiLevelType w:val="hybridMultilevel"/>
    <w:tmpl w:val="95C8BC9E"/>
    <w:lvl w:ilvl="0" w:tplc="F796FBEC">
      <w:start w:val="1"/>
      <w:numFmt w:val="lowerLetter"/>
      <w:lvlText w:val="%1)"/>
      <w:lvlJc w:val="left"/>
      <w:pPr>
        <w:ind w:left="360" w:hanging="360"/>
      </w:pPr>
    </w:lvl>
    <w:lvl w:ilvl="1" w:tplc="4884480E" w:tentative="1">
      <w:start w:val="1"/>
      <w:numFmt w:val="lowerLetter"/>
      <w:lvlText w:val="%2."/>
      <w:lvlJc w:val="left"/>
      <w:pPr>
        <w:ind w:left="1080" w:hanging="360"/>
      </w:pPr>
    </w:lvl>
    <w:lvl w:ilvl="2" w:tplc="91749136" w:tentative="1">
      <w:start w:val="1"/>
      <w:numFmt w:val="lowerRoman"/>
      <w:lvlText w:val="%3."/>
      <w:lvlJc w:val="right"/>
      <w:pPr>
        <w:ind w:left="1800" w:hanging="180"/>
      </w:pPr>
    </w:lvl>
    <w:lvl w:ilvl="3" w:tplc="59466150" w:tentative="1">
      <w:start w:val="1"/>
      <w:numFmt w:val="decimal"/>
      <w:lvlText w:val="%4."/>
      <w:lvlJc w:val="left"/>
      <w:pPr>
        <w:ind w:left="2520" w:hanging="360"/>
      </w:pPr>
    </w:lvl>
    <w:lvl w:ilvl="4" w:tplc="AB2E8C3C" w:tentative="1">
      <w:start w:val="1"/>
      <w:numFmt w:val="lowerLetter"/>
      <w:lvlText w:val="%5."/>
      <w:lvlJc w:val="left"/>
      <w:pPr>
        <w:ind w:left="3240" w:hanging="360"/>
      </w:pPr>
    </w:lvl>
    <w:lvl w:ilvl="5" w:tplc="6D1C4F2C" w:tentative="1">
      <w:start w:val="1"/>
      <w:numFmt w:val="lowerRoman"/>
      <w:lvlText w:val="%6."/>
      <w:lvlJc w:val="right"/>
      <w:pPr>
        <w:ind w:left="3960" w:hanging="180"/>
      </w:pPr>
    </w:lvl>
    <w:lvl w:ilvl="6" w:tplc="9EA4A67A" w:tentative="1">
      <w:start w:val="1"/>
      <w:numFmt w:val="decimal"/>
      <w:lvlText w:val="%7."/>
      <w:lvlJc w:val="left"/>
      <w:pPr>
        <w:ind w:left="4680" w:hanging="360"/>
      </w:pPr>
    </w:lvl>
    <w:lvl w:ilvl="7" w:tplc="49187FD0" w:tentative="1">
      <w:start w:val="1"/>
      <w:numFmt w:val="lowerLetter"/>
      <w:lvlText w:val="%8."/>
      <w:lvlJc w:val="left"/>
      <w:pPr>
        <w:ind w:left="5400" w:hanging="360"/>
      </w:pPr>
    </w:lvl>
    <w:lvl w:ilvl="8" w:tplc="D65AF2DE" w:tentative="1">
      <w:start w:val="1"/>
      <w:numFmt w:val="lowerRoman"/>
      <w:lvlText w:val="%9."/>
      <w:lvlJc w:val="right"/>
      <w:pPr>
        <w:ind w:left="6120" w:hanging="180"/>
      </w:pPr>
    </w:lvl>
  </w:abstractNum>
  <w:abstractNum w:abstractNumId="20" w15:restartNumberingAfterBreak="0">
    <w:nsid w:val="7A486E2F"/>
    <w:multiLevelType w:val="hybridMultilevel"/>
    <w:tmpl w:val="44FA760C"/>
    <w:lvl w:ilvl="0" w:tplc="863AFAF2">
      <w:start w:val="1"/>
      <w:numFmt w:val="bullet"/>
      <w:pStyle w:val="BulletThree"/>
      <w:lvlText w:val=""/>
      <w:lvlJc w:val="left"/>
      <w:pPr>
        <w:tabs>
          <w:tab w:val="num" w:pos="681"/>
        </w:tabs>
        <w:ind w:left="681" w:hanging="227"/>
      </w:pPr>
      <w:rPr>
        <w:rFonts w:ascii="Symbol" w:hAnsi="Symbol" w:hint="default"/>
        <w:sz w:val="16"/>
        <w:szCs w:val="16"/>
      </w:rPr>
    </w:lvl>
    <w:lvl w:ilvl="1" w:tplc="E26CDA7E" w:tentative="1">
      <w:start w:val="1"/>
      <w:numFmt w:val="bullet"/>
      <w:lvlText w:val="o"/>
      <w:lvlJc w:val="left"/>
      <w:pPr>
        <w:tabs>
          <w:tab w:val="num" w:pos="1440"/>
        </w:tabs>
        <w:ind w:left="1440" w:hanging="360"/>
      </w:pPr>
      <w:rPr>
        <w:rFonts w:ascii="Courier New" w:hAnsi="Courier New" w:cs="Courier New" w:hint="default"/>
      </w:rPr>
    </w:lvl>
    <w:lvl w:ilvl="2" w:tplc="D5F251D4" w:tentative="1">
      <w:start w:val="1"/>
      <w:numFmt w:val="bullet"/>
      <w:lvlText w:val=""/>
      <w:lvlJc w:val="left"/>
      <w:pPr>
        <w:tabs>
          <w:tab w:val="num" w:pos="2160"/>
        </w:tabs>
        <w:ind w:left="2160" w:hanging="360"/>
      </w:pPr>
      <w:rPr>
        <w:rFonts w:ascii="Wingdings" w:hAnsi="Wingdings" w:hint="default"/>
      </w:rPr>
    </w:lvl>
    <w:lvl w:ilvl="3" w:tplc="BA3AB8C8" w:tentative="1">
      <w:start w:val="1"/>
      <w:numFmt w:val="bullet"/>
      <w:lvlText w:val=""/>
      <w:lvlJc w:val="left"/>
      <w:pPr>
        <w:tabs>
          <w:tab w:val="num" w:pos="2880"/>
        </w:tabs>
        <w:ind w:left="2880" w:hanging="360"/>
      </w:pPr>
      <w:rPr>
        <w:rFonts w:ascii="Symbol" w:hAnsi="Symbol" w:hint="default"/>
      </w:rPr>
    </w:lvl>
    <w:lvl w:ilvl="4" w:tplc="779C29A2" w:tentative="1">
      <w:start w:val="1"/>
      <w:numFmt w:val="bullet"/>
      <w:lvlText w:val="o"/>
      <w:lvlJc w:val="left"/>
      <w:pPr>
        <w:tabs>
          <w:tab w:val="num" w:pos="3600"/>
        </w:tabs>
        <w:ind w:left="3600" w:hanging="360"/>
      </w:pPr>
      <w:rPr>
        <w:rFonts w:ascii="Courier New" w:hAnsi="Courier New" w:cs="Courier New" w:hint="default"/>
      </w:rPr>
    </w:lvl>
    <w:lvl w:ilvl="5" w:tplc="A5C4F328" w:tentative="1">
      <w:start w:val="1"/>
      <w:numFmt w:val="bullet"/>
      <w:lvlText w:val=""/>
      <w:lvlJc w:val="left"/>
      <w:pPr>
        <w:tabs>
          <w:tab w:val="num" w:pos="4320"/>
        </w:tabs>
        <w:ind w:left="4320" w:hanging="360"/>
      </w:pPr>
      <w:rPr>
        <w:rFonts w:ascii="Wingdings" w:hAnsi="Wingdings" w:hint="default"/>
      </w:rPr>
    </w:lvl>
    <w:lvl w:ilvl="6" w:tplc="F09ADED4" w:tentative="1">
      <w:start w:val="1"/>
      <w:numFmt w:val="bullet"/>
      <w:lvlText w:val=""/>
      <w:lvlJc w:val="left"/>
      <w:pPr>
        <w:tabs>
          <w:tab w:val="num" w:pos="5040"/>
        </w:tabs>
        <w:ind w:left="5040" w:hanging="360"/>
      </w:pPr>
      <w:rPr>
        <w:rFonts w:ascii="Symbol" w:hAnsi="Symbol" w:hint="default"/>
      </w:rPr>
    </w:lvl>
    <w:lvl w:ilvl="7" w:tplc="13BC91E8" w:tentative="1">
      <w:start w:val="1"/>
      <w:numFmt w:val="bullet"/>
      <w:lvlText w:val="o"/>
      <w:lvlJc w:val="left"/>
      <w:pPr>
        <w:tabs>
          <w:tab w:val="num" w:pos="5760"/>
        </w:tabs>
        <w:ind w:left="5760" w:hanging="360"/>
      </w:pPr>
      <w:rPr>
        <w:rFonts w:ascii="Courier New" w:hAnsi="Courier New" w:cs="Courier New" w:hint="default"/>
      </w:rPr>
    </w:lvl>
    <w:lvl w:ilvl="8" w:tplc="D99AA6E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3"/>
  </w:num>
  <w:num w:numId="4">
    <w:abstractNumId w:val="9"/>
  </w:num>
  <w:num w:numId="5">
    <w:abstractNumId w:val="15"/>
  </w:num>
  <w:num w:numId="6">
    <w:abstractNumId w:val="15"/>
  </w:num>
  <w:num w:numId="7">
    <w:abstractNumId w:val="7"/>
  </w:num>
  <w:num w:numId="8">
    <w:abstractNumId w:val="11"/>
  </w:num>
  <w:num w:numId="9">
    <w:abstractNumId w:val="12"/>
  </w:num>
  <w:num w:numId="10">
    <w:abstractNumId w:val="12"/>
  </w:num>
  <w:num w:numId="11">
    <w:abstractNumId w:val="2"/>
  </w:num>
  <w:num w:numId="12">
    <w:abstractNumId w:val="5"/>
  </w:num>
  <w:num w:numId="13">
    <w:abstractNumId w:val="3"/>
  </w:num>
  <w:num w:numId="14">
    <w:abstractNumId w:val="13"/>
  </w:num>
  <w:num w:numId="15">
    <w:abstractNumId w:val="9"/>
  </w:num>
  <w:num w:numId="16">
    <w:abstractNumId w:val="2"/>
  </w:num>
  <w:num w:numId="17">
    <w:abstractNumId w:val="2"/>
  </w:num>
  <w:num w:numId="18">
    <w:abstractNumId w:val="2"/>
  </w:num>
  <w:num w:numId="19">
    <w:abstractNumId w:val="7"/>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5"/>
  </w:num>
  <w:num w:numId="25">
    <w:abstractNumId w:val="10"/>
  </w:num>
  <w:num w:numId="26">
    <w:abstractNumId w:val="6"/>
  </w:num>
  <w:num w:numId="27">
    <w:abstractNumId w:val="7"/>
  </w:num>
  <w:num w:numId="28">
    <w:abstractNumId w:val="11"/>
  </w:num>
  <w:num w:numId="29">
    <w:abstractNumId w:val="14"/>
  </w:num>
  <w:num w:numId="30">
    <w:abstractNumId w:val="20"/>
  </w:num>
  <w:num w:numId="31">
    <w:abstractNumId w:val="16"/>
  </w:num>
  <w:num w:numId="32">
    <w:abstractNumId w:val="18"/>
  </w:num>
  <w:num w:numId="33">
    <w:abstractNumId w:val="18"/>
  </w:num>
  <w:num w:numId="34">
    <w:abstractNumId w:val="18"/>
  </w:num>
  <w:num w:numId="35">
    <w:abstractNumId w:val="8"/>
  </w:num>
  <w:num w:numId="36">
    <w:abstractNumId w:val="4"/>
  </w:num>
  <w:num w:numId="37">
    <w:abstractNumId w:val="19"/>
  </w:num>
  <w:num w:numId="38">
    <w:abstractNumId w:val="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06"/>
    <w:rsid w:val="00083D4D"/>
    <w:rsid w:val="0034799D"/>
    <w:rsid w:val="006A5631"/>
    <w:rsid w:val="00867755"/>
    <w:rsid w:val="008C4481"/>
    <w:rsid w:val="00B809F9"/>
    <w:rsid w:val="00E362F6"/>
    <w:rsid w:val="00E8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F309"/>
  <w15:docId w15:val="{D9C38E14-D54C-46DA-80B7-B20AE1DD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0"/>
      </w:numPr>
      <w:spacing w:after="0"/>
      <w:jc w:val="right"/>
    </w:pPr>
    <w:rPr>
      <w:rFonts w:ascii="Arial" w:hAnsi="Arial"/>
      <w:b/>
      <w:color w:val="808080"/>
      <w:sz w:val="16"/>
    </w:rPr>
  </w:style>
  <w:style w:type="paragraph" w:customStyle="1" w:styleId="BulletOne">
    <w:name w:val="BulletOne"/>
    <w:basedOn w:val="Normal"/>
    <w:rsid w:val="00152555"/>
    <w:pPr>
      <w:numPr>
        <w:numId w:val="29"/>
      </w:numPr>
      <w:spacing w:after="0"/>
    </w:pPr>
  </w:style>
  <w:style w:type="paragraph" w:customStyle="1" w:styleId="BulletThree">
    <w:name w:val="BulletThree"/>
    <w:basedOn w:val="Normal"/>
    <w:rsid w:val="00152555"/>
    <w:pPr>
      <w:numPr>
        <w:numId w:val="30"/>
      </w:numPr>
      <w:tabs>
        <w:tab w:val="left" w:pos="454"/>
      </w:tabs>
      <w:spacing w:after="0"/>
    </w:pPr>
  </w:style>
  <w:style w:type="paragraph" w:customStyle="1" w:styleId="BulletTwo">
    <w:name w:val="BulletTwo"/>
    <w:basedOn w:val="Normal"/>
    <w:rsid w:val="00152555"/>
    <w:pPr>
      <w:numPr>
        <w:numId w:val="31"/>
      </w:numPr>
      <w:tabs>
        <w:tab w:val="left" w:pos="227"/>
      </w:tabs>
      <w:spacing w:after="0"/>
    </w:pPr>
  </w:style>
  <w:style w:type="paragraph" w:styleId="Footer">
    <w:name w:val="footer"/>
    <w:basedOn w:val="Normal"/>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27"/>
      </w:numPr>
    </w:pPr>
    <w:rPr>
      <w:szCs w:val="20"/>
    </w:rPr>
  </w:style>
  <w:style w:type="paragraph" w:customStyle="1" w:styleId="TableNumberBullet">
    <w:name w:val="Table Number Bullet"/>
    <w:basedOn w:val="TableText"/>
    <w:rsid w:val="0052449E"/>
    <w:pPr>
      <w:numPr>
        <w:numId w:val="28"/>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5"/>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5"/>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34"/>
      </w:numPr>
      <w:spacing w:after="0"/>
    </w:pPr>
  </w:style>
  <w:style w:type="paragraph" w:customStyle="1" w:styleId="NumBulletThree">
    <w:name w:val="NumBulletThree"/>
    <w:basedOn w:val="Normal"/>
    <w:rsid w:val="00152555"/>
    <w:pPr>
      <w:numPr>
        <w:ilvl w:val="2"/>
        <w:numId w:val="34"/>
      </w:numPr>
      <w:spacing w:after="0"/>
    </w:pPr>
  </w:style>
  <w:style w:type="paragraph" w:customStyle="1" w:styleId="NumBulletTwo">
    <w:name w:val="NumBulletTwo"/>
    <w:basedOn w:val="Normal"/>
    <w:rsid w:val="00152555"/>
    <w:pPr>
      <w:numPr>
        <w:ilvl w:val="1"/>
        <w:numId w:val="34"/>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paragraph" w:styleId="NormalWeb">
    <w:name w:val="Normal (Web)"/>
    <w:basedOn w:val="Normal"/>
    <w:uiPriority w:val="99"/>
    <w:unhideWhenUsed/>
    <w:rsid w:val="00421026"/>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421026"/>
    <w:pPr>
      <w:spacing w:after="0"/>
      <w:ind w:left="720"/>
      <w:contextualSpacing/>
    </w:pPr>
    <w:rPr>
      <w:rFonts w:ascii="Times New Roman" w:hAnsi="Times New Roman"/>
      <w:sz w:val="24"/>
      <w:lang w:eastAsia="en-GB"/>
    </w:rPr>
  </w:style>
  <w:style w:type="character" w:styleId="Hyperlink">
    <w:name w:val="Hyperlink"/>
    <w:basedOn w:val="DefaultParagraphFont"/>
    <w:rsid w:val="008E4106"/>
    <w:rPr>
      <w:color w:val="0000FF" w:themeColor="hyperlink"/>
      <w:u w:val="single"/>
    </w:rPr>
  </w:style>
  <w:style w:type="table" w:styleId="TableGrid">
    <w:name w:val="Table Grid"/>
    <w:basedOn w:val="TableNormal"/>
    <w:uiPriority w:val="59"/>
    <w:rsid w:val="008E4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EB8"/>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qFormat/>
    <w:rsid w:val="003D4279"/>
    <w:pPr>
      <w:spacing w:after="120" w:line="240" w:lineRule="atLeast"/>
    </w:pPr>
    <w:rPr>
      <w:rFonts w:asciiTheme="minorHAnsi" w:hAnsiTheme="minorHAnsi" w:cs="Arial"/>
      <w:sz w:val="18"/>
      <w:szCs w:val="20"/>
      <w:lang w:val="en-US"/>
    </w:rPr>
  </w:style>
  <w:style w:type="character" w:customStyle="1" w:styleId="BodyTextChar">
    <w:name w:val="Body Text Char"/>
    <w:basedOn w:val="DefaultParagraphFont"/>
    <w:link w:val="BodyText"/>
    <w:rsid w:val="003D4279"/>
    <w:rPr>
      <w:rFonts w:asciiTheme="minorHAnsi" w:hAnsiTheme="minorHAnsi" w:cs="Arial"/>
      <w:sz w:val="18"/>
      <w:lang w:val="en-US" w:eastAsia="en-US"/>
    </w:rPr>
  </w:style>
  <w:style w:type="paragraph" w:customStyle="1" w:styleId="Rheading">
    <w:name w:val="R heading"/>
    <w:basedOn w:val="Subtitle"/>
    <w:autoRedefine/>
    <w:qFormat/>
    <w:rsid w:val="00A54D21"/>
    <w:pPr>
      <w:numPr>
        <w:ilvl w:val="0"/>
        <w:numId w:val="39"/>
      </w:numPr>
      <w:tabs>
        <w:tab w:val="num" w:pos="2665"/>
      </w:tabs>
      <w:spacing w:before="240" w:after="120"/>
      <w:ind w:left="2665" w:hanging="737"/>
    </w:pPr>
    <w:rPr>
      <w:rFonts w:ascii="Arial" w:hAnsi="Arial"/>
      <w:b/>
      <w:color w:val="auto"/>
      <w:spacing w:val="0"/>
      <w:sz w:val="28"/>
    </w:rPr>
  </w:style>
  <w:style w:type="paragraph" w:customStyle="1" w:styleId="Rparagraph">
    <w:name w:val="R paragraph"/>
    <w:basedOn w:val="Rheading"/>
    <w:qFormat/>
    <w:rsid w:val="00A54D21"/>
    <w:pPr>
      <w:numPr>
        <w:ilvl w:val="1"/>
      </w:numPr>
      <w:tabs>
        <w:tab w:val="num" w:pos="1440"/>
      </w:tabs>
      <w:spacing w:before="120"/>
      <w:ind w:left="567" w:hanging="567"/>
    </w:pPr>
    <w:rPr>
      <w:b w:val="0"/>
      <w:sz w:val="24"/>
    </w:rPr>
  </w:style>
  <w:style w:type="paragraph" w:customStyle="1" w:styleId="Rthirdlevelparagraph">
    <w:name w:val="R third level paragraph"/>
    <w:basedOn w:val="Rparagraph"/>
    <w:autoRedefine/>
    <w:qFormat/>
    <w:rsid w:val="00A54D21"/>
    <w:pPr>
      <w:numPr>
        <w:ilvl w:val="2"/>
      </w:numPr>
      <w:tabs>
        <w:tab w:val="num" w:pos="2160"/>
      </w:tabs>
      <w:ind w:left="2160" w:hanging="180"/>
    </w:pPr>
  </w:style>
  <w:style w:type="paragraph" w:customStyle="1" w:styleId="Rquotation">
    <w:name w:val="R quotation"/>
    <w:basedOn w:val="Normal"/>
    <w:link w:val="RquotationChar"/>
    <w:qFormat/>
    <w:rsid w:val="00A54D21"/>
    <w:pPr>
      <w:spacing w:before="120" w:after="120"/>
      <w:ind w:left="567"/>
    </w:pPr>
    <w:rPr>
      <w:rFonts w:ascii="Arial" w:eastAsiaTheme="minorEastAsia" w:hAnsi="Arial" w:cstheme="minorBidi"/>
      <w:sz w:val="24"/>
      <w:szCs w:val="22"/>
    </w:rPr>
  </w:style>
  <w:style w:type="character" w:customStyle="1" w:styleId="RquotationChar">
    <w:name w:val="R quotation Char"/>
    <w:basedOn w:val="DefaultParagraphFont"/>
    <w:link w:val="Rquotation"/>
    <w:rsid w:val="00A54D21"/>
    <w:rPr>
      <w:rFonts w:ascii="Arial" w:eastAsiaTheme="minorEastAsia" w:hAnsi="Arial" w:cstheme="minorBidi"/>
      <w:sz w:val="24"/>
      <w:szCs w:val="22"/>
      <w:lang w:eastAsia="en-US"/>
    </w:rPr>
  </w:style>
  <w:style w:type="paragraph" w:styleId="Subtitle">
    <w:name w:val="Subtitle"/>
    <w:basedOn w:val="Normal"/>
    <w:next w:val="Normal"/>
    <w:link w:val="SubtitleChar"/>
    <w:qFormat/>
    <w:rsid w:val="00A54D2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54D21"/>
    <w:rPr>
      <w:rFonts w:asciiTheme="minorHAnsi" w:eastAsiaTheme="minorEastAsia" w:hAnsiTheme="minorHAnsi" w:cstheme="minorBidi"/>
      <w:color w:val="5A5A5A" w:themeColor="text1" w:themeTint="A5"/>
      <w:spacing w:val="15"/>
      <w:sz w:val="22"/>
      <w:szCs w:val="22"/>
      <w:lang w:eastAsia="en-US"/>
    </w:rPr>
  </w:style>
  <w:style w:type="character" w:styleId="CommentReference">
    <w:name w:val="annotation reference"/>
    <w:basedOn w:val="DefaultParagraphFont"/>
    <w:semiHidden/>
    <w:unhideWhenUsed/>
    <w:rsid w:val="00A53B42"/>
    <w:rPr>
      <w:sz w:val="16"/>
      <w:szCs w:val="16"/>
    </w:rPr>
  </w:style>
  <w:style w:type="paragraph" w:styleId="CommentText">
    <w:name w:val="annotation text"/>
    <w:basedOn w:val="Normal"/>
    <w:link w:val="CommentTextChar"/>
    <w:semiHidden/>
    <w:unhideWhenUsed/>
    <w:rsid w:val="00A53B42"/>
    <w:rPr>
      <w:sz w:val="20"/>
      <w:szCs w:val="20"/>
    </w:rPr>
  </w:style>
  <w:style w:type="character" w:customStyle="1" w:styleId="CommentTextChar">
    <w:name w:val="Comment Text Char"/>
    <w:basedOn w:val="DefaultParagraphFont"/>
    <w:link w:val="CommentText"/>
    <w:semiHidden/>
    <w:rsid w:val="00A53B42"/>
    <w:rPr>
      <w:rFonts w:ascii="Garamond" w:hAnsi="Garamond"/>
      <w:lang w:eastAsia="en-US"/>
    </w:rPr>
  </w:style>
  <w:style w:type="paragraph" w:styleId="CommentSubject">
    <w:name w:val="annotation subject"/>
    <w:basedOn w:val="CommentText"/>
    <w:next w:val="CommentText"/>
    <w:link w:val="CommentSubjectChar"/>
    <w:semiHidden/>
    <w:unhideWhenUsed/>
    <w:rsid w:val="00A53B42"/>
    <w:rPr>
      <w:b/>
      <w:bCs/>
    </w:rPr>
  </w:style>
  <w:style w:type="character" w:customStyle="1" w:styleId="CommentSubjectChar">
    <w:name w:val="Comment Subject Char"/>
    <w:basedOn w:val="CommentTextChar"/>
    <w:link w:val="CommentSubject"/>
    <w:semiHidden/>
    <w:rsid w:val="00A53B42"/>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z%20tembo\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73DA-EAC6-4FAA-AEFB-44189320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Letter.dotm</Template>
  <TotalTime>200</TotalTime>
  <Pages>10</Pages>
  <Words>3575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Andrea N Castling</dc:creator>
  <cp:lastModifiedBy>Jones, Debra</cp:lastModifiedBy>
  <cp:revision>28</cp:revision>
  <cp:lastPrinted>2019-02-05T16:25:00Z</cp:lastPrinted>
  <dcterms:created xsi:type="dcterms:W3CDTF">2019-12-04T12:10:00Z</dcterms:created>
  <dcterms:modified xsi:type="dcterms:W3CDTF">2020-01-16T15:59:00Z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GTOffice">
    <vt:bool>true</vt:bool>
  </property>
  <property fmtid="{D5CDD505-2E9C-101B-9397-08002B2CF9AE}" pid="3" name="GT Templates Version">
    <vt:lpwstr>Letter R3.2 2003 22/12/08</vt:lpwstr>
  </property>
  <property fmtid="{D5CDD505-2E9C-101B-9397-08002B2CF9AE}" pid="4" name="MSIP_Label_785837b0-ed5a-4fd4-94ae-ef361c98d083_ActionId">
    <vt:lpwstr>ca0eb6b4-acb6-415b-9f95-15bb036e649b</vt:lpwstr>
  </property>
  <property fmtid="{D5CDD505-2E9C-101B-9397-08002B2CF9AE}" pid="5" name="MSIP_Label_785837b0-ed5a-4fd4-94ae-ef361c98d083_Application">
    <vt:lpwstr>Microsoft Azure Information Protection</vt:lpwstr>
  </property>
  <property fmtid="{D5CDD505-2E9C-101B-9397-08002B2CF9AE}" pid="6" name="MSIP_Label_785837b0-ed5a-4fd4-94ae-ef361c98d083_Enabled">
    <vt:lpwstr>False</vt:lpwstr>
  </property>
  <property fmtid="{D5CDD505-2E9C-101B-9397-08002B2CF9AE}" pid="7" name="MSIP_Label_785837b0-ed5a-4fd4-94ae-ef361c98d083_Extended_MSFT_Method">
    <vt:lpwstr>Automatic</vt:lpwstr>
  </property>
  <property fmtid="{D5CDD505-2E9C-101B-9397-08002B2CF9AE}" pid="8" name="MSIP_Label_785837b0-ed5a-4fd4-94ae-ef361c98d083_Name">
    <vt:lpwstr>Commercial in confidence</vt:lpwstr>
  </property>
  <property fmtid="{D5CDD505-2E9C-101B-9397-08002B2CF9AE}" pid="9" name="MSIP_Label_785837b0-ed5a-4fd4-94ae-ef361c98d083_Owner">
    <vt:lpwstr>Angela.L.Pieri@uk.gt.com</vt:lpwstr>
  </property>
  <property fmtid="{D5CDD505-2E9C-101B-9397-08002B2CF9AE}" pid="10" name="MSIP_Label_785837b0-ed5a-4fd4-94ae-ef361c98d083_SetDate">
    <vt:lpwstr>2019-12-03T10:02:12.6889044Z</vt:lpwstr>
  </property>
  <property fmtid="{D5CDD505-2E9C-101B-9397-08002B2CF9AE}" pid="11" name="MSIP_Label_785837b0-ed5a-4fd4-94ae-ef361c98d083_SiteId">
    <vt:lpwstr>b723253f-7281-4adc-bc1c-fc9ef3674d78</vt:lpwstr>
  </property>
  <property fmtid="{D5CDD505-2E9C-101B-9397-08002B2CF9AE}" pid="12" name="Version">
    <vt:lpwstr>2.0.0</vt:lpwstr>
  </property>
</Properties>
</file>